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200"/>
        <w:ind w:left="5528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ind w:hanging="0"/>
        <w:contextualSpacing/>
        <w:jc w:val="left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</w:t>
      </w:r>
    </w:p>
    <w:p>
      <w:pPr>
        <w:pStyle w:val="Normal"/>
        <w:spacing w:lineRule="auto" w:line="240" w:before="0" w:after="200"/>
        <w:ind w:left="5528" w:hanging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</w:t>
      </w:r>
      <w:r>
        <w:rPr>
          <w:rFonts w:cs="Times New Roman" w:ascii="Times New Roman" w:hAnsi="Times New Roman"/>
          <w:sz w:val="24"/>
          <w:szCs w:val="24"/>
        </w:rPr>
        <w:t>Приложение № 1</w:t>
      </w:r>
    </w:p>
    <w:p>
      <w:pPr>
        <w:pStyle w:val="Normal"/>
        <w:spacing w:lineRule="auto" w:line="240" w:before="0" w:after="200"/>
        <w:ind w:left="5528" w:hanging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к Распоряжению Администрации Лахденпохского муниципального      района  от   «</w:t>
      </w:r>
      <w:r>
        <w:rPr>
          <w:rFonts w:cs="Times New Roman" w:ascii="Times New Roman" w:hAnsi="Times New Roman"/>
          <w:sz w:val="24"/>
          <w:szCs w:val="24"/>
        </w:rPr>
        <w:t>13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>января</w:t>
      </w:r>
      <w:r>
        <w:rPr>
          <w:rFonts w:cs="Times New Roman" w:ascii="Times New Roman" w:hAnsi="Times New Roman"/>
          <w:sz w:val="24"/>
          <w:szCs w:val="24"/>
        </w:rPr>
        <w:t xml:space="preserve">   20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cs="Times New Roman" w:ascii="Times New Roman" w:hAnsi="Times New Roman"/>
          <w:sz w:val="24"/>
          <w:szCs w:val="24"/>
        </w:rPr>
        <w:t xml:space="preserve"> г. </w:t>
      </w:r>
    </w:p>
    <w:p>
      <w:pPr>
        <w:pStyle w:val="Normal"/>
        <w:spacing w:lineRule="auto" w:line="240" w:before="0" w:after="200"/>
        <w:ind w:left="5528" w:hanging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№  </w:t>
      </w:r>
      <w:r>
        <w:rPr>
          <w:rFonts w:cs="Times New Roman" w:ascii="Times New Roman" w:hAnsi="Times New Roman"/>
          <w:sz w:val="24"/>
          <w:szCs w:val="24"/>
        </w:rPr>
        <w:t>04-П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200"/>
        <w:ind w:left="5528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«Об утверждении Перечня муниципальных услуг и Перечня государственных услуг, предоставляемых Администрацией Лахденпохского муниципального района»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Перечень муниципальных услуг, предоставляемых </w:t>
      </w:r>
      <w:r>
        <w:rPr>
          <w:rFonts w:cs="Times New Roman" w:ascii="Times New Roman" w:hAnsi="Times New Roman"/>
          <w:b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дминистрацией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Лахденпохского муниципального района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10490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49"/>
        <w:gridCol w:w="5900"/>
        <w:gridCol w:w="3741"/>
      </w:tblGrid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Наименование структурного подразделения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дминистрации, предоставляющего муниципальн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ую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услуг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</w:t>
            </w:r>
          </w:p>
        </w:tc>
      </w:tr>
      <w:tr>
        <w:trPr/>
        <w:tc>
          <w:tcPr>
            <w:tcW w:w="10490" w:type="dxa"/>
            <w:gridSpan w:val="3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Style w:val="Strong"/>
                <w:rFonts w:cs="Times New Roman" w:ascii="Times New Roman" w:hAnsi="Times New Roman"/>
                <w:color w:val="000000"/>
                <w:sz w:val="24"/>
                <w:szCs w:val="24"/>
              </w:rPr>
              <w:t>Услуги в сфере образования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Денежная выплата малообеспеченным гражданам, имеющим детей в возрасте от полутора до трех лет, не получившим направление на зачисление в образовательное учреждение, реализующее основную общеобразовательную программу дошкольного образования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</w:t>
            </w:r>
          </w:p>
        </w:tc>
      </w:tr>
      <w:tr>
        <w:trPr/>
        <w:tc>
          <w:tcPr>
            <w:tcW w:w="10490" w:type="dxa"/>
            <w:gridSpan w:val="3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rong"/>
                <w:rFonts w:cs="Times New Roman" w:ascii="Times New Roman" w:hAnsi="Times New Roman"/>
                <w:color w:val="000000"/>
                <w:sz w:val="24"/>
                <w:szCs w:val="24"/>
              </w:rPr>
              <w:t>Услуги в сфере культуры и спорта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аэростатов, а так же посадку (взлет) на расположенные в границах муниципального образования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социальной работы</w:t>
            </w:r>
          </w:p>
        </w:tc>
      </w:tr>
      <w:tr>
        <w:trPr/>
        <w:tc>
          <w:tcPr>
            <w:tcW w:w="10490" w:type="dxa"/>
            <w:gridSpan w:val="3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rong"/>
                <w:rFonts w:cs="Times New Roman" w:ascii="Times New Roman" w:hAnsi="Times New Roman"/>
                <w:color w:val="000000"/>
                <w:sz w:val="24"/>
                <w:szCs w:val="24"/>
              </w:rPr>
              <w:t>Услуги в сфере социальной защиты населения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Предоставление дополнительных мер социальной поддержки и социальной помощи отдельным категориям граждан за счет средств бюджета муниципального образования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Доплата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порядке»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 делами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Прием документов от граждан в целях формирования списков молодых семей для участия в федеральной целевой программе «Жилище» по подпрограмме «Обеспечение жильем молодых семей»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Прием документов от граждан, проживающих в сельской местности, в том числе молодых семей и молодых специалистов, для включения в состав участников мероприятий по улучшению жилищных условий в рамках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/>
        <w:tc>
          <w:tcPr>
            <w:tcW w:w="10490" w:type="dxa"/>
            <w:gridSpan w:val="3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/>
            </w:pPr>
            <w:r>
              <w:rPr>
                <w:rStyle w:val="Strong"/>
                <w:rFonts w:cs="Times New Roman" w:ascii="Times New Roman" w:hAnsi="Times New Roman"/>
                <w:color w:val="000000"/>
                <w:sz w:val="24"/>
                <w:szCs w:val="24"/>
              </w:rPr>
              <w:t>Услуги в сфере опеки и попечительства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Выдача разрешений на вступление в брак несовершеннолетним лицам, достигшим шестнадцатилетнего возраста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</w:t>
            </w:r>
          </w:p>
        </w:tc>
      </w:tr>
      <w:tr>
        <w:trPr/>
        <w:tc>
          <w:tcPr>
            <w:tcW w:w="10490" w:type="dxa"/>
            <w:gridSpan w:val="3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rong"/>
                <w:rFonts w:cs="Times New Roman" w:ascii="Times New Roman" w:hAnsi="Times New Roman"/>
                <w:color w:val="000000"/>
                <w:sz w:val="24"/>
                <w:szCs w:val="24"/>
              </w:rPr>
              <w:t>Услуги в сфере жилищно-коммунального хозяйства, имущественного комплекса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Постановка граждан на учет в качестве нуждающихся в жилых помещениях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Выдача решений о переводе жилого помещения в нежилое или нежилого помещения в жилое помещение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Принятие решений о безвозмездном приеме жилого помещения в муниципальную собственность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справок об отказе от права преимущественной покупки доли в праве общей долевой собственности на жилые помещения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Принятие решений о предоставлении жилых помещений муниципального жилищного фонда по договорам социального найма жилого помещения, специализированных жилых помещений муниципального жилищного фонда по договорам найма специализированного жилого помещения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Выдача разрешений на вселение в занимаемое жилое помещение по договору социального найма иных лиц, на передачу в поднаем жилого помещения, предоставленного по договору социального найма, на обмен жилыми помещениями, предоставленными по договорам социального найма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Принятие решений о признании жилого помещения непригодным для проживания, многоквартирного дома аварийным и подлежащим сносу или реконструкции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Выдача выписок из реестра муниципального имущества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мест захоронения на кладбищах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ордеров на проведение на проведение земляных работ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Выдача копии финансово - лицевого счета, выписки из домовой книги, карточки учета собственника жилого помещения, справок и иных документов в сфере жилищно коммунального хозяйства 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Присвоение объектам адресации адресов, аннулирование адресов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</w:tr>
      <w:tr>
        <w:trPr>
          <w:trHeight w:val="536" w:hRule="atLeast"/>
        </w:trPr>
        <w:tc>
          <w:tcPr>
            <w:tcW w:w="10490" w:type="dxa"/>
            <w:gridSpan w:val="3"/>
            <w:tcBorders>
              <w:top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Услуги в сфере  торговли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разрешений на право организации розничного рынка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>
          <w:trHeight w:val="623" w:hRule="atLeast"/>
        </w:trPr>
        <w:tc>
          <w:tcPr>
            <w:tcW w:w="10490" w:type="dxa"/>
            <w:gridSpan w:val="3"/>
            <w:tcBorders>
              <w:top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Услуги в сфере автотранспорта и  дорожной деятельности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>
          <w:trHeight w:val="596" w:hRule="atLeast"/>
        </w:trPr>
        <w:tc>
          <w:tcPr>
            <w:tcW w:w="10490" w:type="dxa"/>
            <w:gridSpan w:val="3"/>
            <w:tcBorders>
              <w:top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Услуги в сфере природопользования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разрешений на снос зеленых насаждений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/>
        <w:tc>
          <w:tcPr>
            <w:tcW w:w="10490" w:type="dxa"/>
            <w:gridSpan w:val="3"/>
            <w:tcBorders/>
            <w:shd w:fill="auto" w:val="clear"/>
            <w:vAlign w:val="bottom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rong"/>
                <w:rFonts w:cs="Times New Roman" w:ascii="Times New Roman" w:hAnsi="Times New Roman"/>
                <w:color w:val="000000"/>
                <w:sz w:val="24"/>
                <w:szCs w:val="24"/>
              </w:rPr>
              <w:t>Услуги в сфере земельных отношений, строительства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Выдача градостроительных планов земельных участков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Выдача разрешения на строительство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Выдача разрешения на ввод объектов в эксплуатацию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Выдача разрешений на установку и эксплуатацию рекламных конструкций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«КИО ЖКХ»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Предварительное согласование предоставления земельного участка, находящегося в муниципальной собственности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земельных участков, находящихся в муниципальной собственности, без проведения торгов.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земельных участков, находящихся в муниципальной собственности, на торгах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схемы расположения земельного участка или земельных участков, находящихся в муниципальной собственности, на кадастровом плане территории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Рассмотрение ходатайств заинтересованных лиц о переводе из одной категории в другую земель (земельных участков), находящихся в муниципальной и частной собственности, за исключением земель сельскохозяйственного назначения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Рассмотрение ходатайств заинтересованных лиц об отнесении земельных участков к определенной категории земель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900" w:type="dxa"/>
            <w:tcBorders>
              <w:top w:val="nil"/>
            </w:tcBorders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Принятие решения о подготовке документации по планировке территории и (или) утверждение документации по планировке территории</w:t>
            </w:r>
          </w:p>
        </w:tc>
        <w:tc>
          <w:tcPr>
            <w:tcW w:w="374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строительства и земельных отношений</w:t>
            </w:r>
          </w:p>
        </w:tc>
      </w:tr>
      <w:tr>
        <w:trPr/>
        <w:tc>
          <w:tcPr>
            <w:tcW w:w="10490" w:type="dxa"/>
            <w:gridSpan w:val="3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Style w:val="Strong"/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rong"/>
                <w:rFonts w:cs="Times New Roman" w:ascii="Times New Roman" w:hAnsi="Times New Roman"/>
                <w:color w:val="000000"/>
                <w:sz w:val="24"/>
                <w:szCs w:val="24"/>
              </w:rPr>
              <w:t>Услуги муниципального архива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Выдача муниципальным архивом архивных документов (архивных справок, выписок и копий)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 «Лахденпохский архив»</w:t>
            </w:r>
          </w:p>
        </w:tc>
      </w:tr>
      <w:tr>
        <w:trPr/>
        <w:tc>
          <w:tcPr>
            <w:tcW w:w="10490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rong"/>
                <w:rFonts w:cs="Times New Roman" w:ascii="Times New Roman" w:hAnsi="Times New Roman"/>
                <w:sz w:val="24"/>
                <w:szCs w:val="24"/>
              </w:rPr>
              <w:t>Иные услуги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0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  <w:tc>
          <w:tcPr>
            <w:tcW w:w="37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 делами</w:t>
            </w:r>
          </w:p>
        </w:tc>
      </w:tr>
    </w:tbl>
    <w:p>
      <w:pPr>
        <w:pStyle w:val="NormalWeb"/>
        <w:spacing w:beforeAutospacing="0" w:before="0" w:afterAutospacing="0" w:after="0"/>
        <w:contextualSpacing/>
        <w:jc w:val="center"/>
        <w:rPr>
          <w:rStyle w:val="Strong"/>
          <w:rFonts w:ascii="Times New Roman" w:hAnsi="Times New Roman" w:cs="Times New Roman"/>
          <w:color w:val="00000A"/>
          <w:sz w:val="24"/>
          <w:szCs w:val="24"/>
        </w:rPr>
      </w:pPr>
      <w:r>
        <w:rPr>
          <w:rFonts w:cs="Times New Roman" w:ascii="Times New Roman" w:hAnsi="Times New Roman"/>
          <w:color w:val="00000A"/>
          <w:sz w:val="24"/>
          <w:szCs w:val="24"/>
        </w:rPr>
      </w:r>
    </w:p>
    <w:p>
      <w:pPr>
        <w:pStyle w:val="NormalWeb"/>
        <w:spacing w:beforeAutospacing="0" w:before="0" w:afterAutospacing="0" w:after="0"/>
        <w:contextualSpacing/>
        <w:jc w:val="center"/>
        <w:rPr>
          <w:rStyle w:val="Strong"/>
          <w:rFonts w:ascii="Times New Roman" w:hAnsi="Times New Roman" w:cs="Times New Roman"/>
          <w:color w:val="00000A"/>
          <w:sz w:val="24"/>
          <w:szCs w:val="24"/>
        </w:rPr>
      </w:pPr>
      <w:r>
        <w:rPr>
          <w:rFonts w:cs="Times New Roman" w:ascii="Times New Roman" w:hAnsi="Times New Roman"/>
          <w:color w:val="00000A"/>
          <w:sz w:val="24"/>
          <w:szCs w:val="24"/>
        </w:rPr>
      </w:r>
    </w:p>
    <w:p>
      <w:pPr>
        <w:pStyle w:val="NormalWeb"/>
        <w:spacing w:beforeAutospacing="0" w:before="0" w:afterAutospacing="0" w:after="0"/>
        <w:contextualSpacing/>
        <w:jc w:val="center"/>
        <w:rPr>
          <w:rStyle w:val="Strong"/>
          <w:rFonts w:ascii="Times New Roman" w:hAnsi="Times New Roman" w:cs="Times New Roman"/>
          <w:color w:val="00000A"/>
          <w:sz w:val="24"/>
          <w:szCs w:val="24"/>
        </w:rPr>
      </w:pPr>
      <w:r>
        <w:rPr>
          <w:rFonts w:cs="Times New Roman" w:ascii="Times New Roman" w:hAnsi="Times New Roman"/>
          <w:color w:val="00000A"/>
          <w:sz w:val="24"/>
          <w:szCs w:val="24"/>
        </w:rPr>
      </w:r>
    </w:p>
    <w:p>
      <w:pPr>
        <w:pStyle w:val="NormalWeb"/>
        <w:spacing w:beforeAutospacing="0" w:before="0" w:afterAutospacing="0" w:after="0"/>
        <w:contextualSpacing/>
        <w:jc w:val="center"/>
        <w:rPr>
          <w:rStyle w:val="Strong"/>
          <w:rFonts w:ascii="Times New Roman" w:hAnsi="Times New Roman" w:cs="Times New Roman"/>
          <w:color w:val="00000A"/>
          <w:sz w:val="24"/>
          <w:szCs w:val="24"/>
        </w:rPr>
      </w:pPr>
      <w:r>
        <w:rPr>
          <w:rFonts w:cs="Times New Roman" w:ascii="Times New Roman" w:hAnsi="Times New Roman"/>
          <w:color w:val="00000A"/>
          <w:sz w:val="24"/>
          <w:szCs w:val="24"/>
        </w:rPr>
      </w:r>
    </w:p>
    <w:p>
      <w:pPr>
        <w:pStyle w:val="NormalWeb"/>
        <w:spacing w:beforeAutospacing="0" w:before="0" w:afterAutospacing="0" w:after="0"/>
        <w:contextualSpacing/>
        <w:jc w:val="center"/>
        <w:rPr>
          <w:rStyle w:val="Strong"/>
          <w:rFonts w:ascii="Times New Roman" w:hAnsi="Times New Roman" w:cs="Times New Roman"/>
          <w:color w:val="00000A"/>
          <w:sz w:val="24"/>
          <w:szCs w:val="24"/>
        </w:rPr>
      </w:pPr>
      <w:r>
        <w:rPr>
          <w:rFonts w:cs="Times New Roman" w:ascii="Times New Roman" w:hAnsi="Times New Roman"/>
          <w:color w:val="00000A"/>
          <w:sz w:val="24"/>
          <w:szCs w:val="24"/>
        </w:rPr>
      </w:r>
    </w:p>
    <w:p>
      <w:pPr>
        <w:pStyle w:val="Normal"/>
        <w:spacing w:lineRule="auto" w:line="240" w:before="0" w:after="200"/>
        <w:ind w:left="5528" w:hanging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</w:p>
    <w:p>
      <w:pPr>
        <w:pStyle w:val="Normal"/>
        <w:spacing w:lineRule="auto" w:line="240" w:before="0" w:after="200"/>
        <w:ind w:left="5528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ind w:left="5528" w:hanging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</w:t>
      </w:r>
      <w:r>
        <w:rPr>
          <w:rFonts w:cs="Times New Roman" w:ascii="Times New Roman" w:hAnsi="Times New Roman"/>
          <w:sz w:val="24"/>
          <w:szCs w:val="24"/>
        </w:rPr>
        <w:t>Приложение № 2</w:t>
      </w:r>
    </w:p>
    <w:p>
      <w:pPr>
        <w:pStyle w:val="Normal"/>
        <w:spacing w:lineRule="auto" w:line="240" w:before="0" w:after="200"/>
        <w:ind w:left="5528" w:hanging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к Распоряжению Администрации Лахденпохского муниципального      района от «</w:t>
      </w:r>
      <w:r>
        <w:rPr>
          <w:rFonts w:cs="Times New Roman" w:ascii="Times New Roman" w:hAnsi="Times New Roman"/>
          <w:sz w:val="24"/>
          <w:szCs w:val="24"/>
        </w:rPr>
        <w:t>13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>января</w:t>
      </w:r>
      <w:r>
        <w:rPr>
          <w:rFonts w:cs="Times New Roman" w:ascii="Times New Roman" w:hAnsi="Times New Roman"/>
          <w:sz w:val="24"/>
          <w:szCs w:val="24"/>
        </w:rPr>
        <w:t xml:space="preserve"> 20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cs="Times New Roman" w:ascii="Times New Roman" w:hAnsi="Times New Roman"/>
          <w:sz w:val="24"/>
          <w:szCs w:val="24"/>
        </w:rPr>
        <w:t xml:space="preserve"> г. </w:t>
      </w:r>
    </w:p>
    <w:p>
      <w:pPr>
        <w:pStyle w:val="Normal"/>
        <w:spacing w:lineRule="auto" w:line="240" w:before="0" w:after="200"/>
        <w:ind w:left="5528" w:hanging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№  </w:t>
      </w:r>
      <w:r>
        <w:rPr>
          <w:rFonts w:cs="Times New Roman" w:ascii="Times New Roman" w:hAnsi="Times New Roman"/>
          <w:sz w:val="24"/>
          <w:szCs w:val="24"/>
        </w:rPr>
        <w:t>04-П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200"/>
        <w:ind w:left="5528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«Об утверждении Перечня муниципальных услуг и Перечня государственных услуг, предоставляемых Администрацией Лахденпохского муниципального района»</w:t>
      </w:r>
    </w:p>
    <w:p>
      <w:pPr>
        <w:pStyle w:val="NormalWeb"/>
        <w:spacing w:beforeAutospacing="0" w:before="0" w:afterAutospacing="0" w:after="0"/>
        <w:contextualSpacing/>
        <w:jc w:val="center"/>
        <w:rPr>
          <w:rStyle w:val="Strong"/>
          <w:rFonts w:ascii="Times New Roman" w:hAnsi="Times New Roman" w:cs="Times New Roman"/>
          <w:color w:val="00000A"/>
          <w:sz w:val="24"/>
          <w:szCs w:val="24"/>
        </w:rPr>
      </w:pPr>
      <w:r>
        <w:rPr>
          <w:rFonts w:cs="Times New Roman" w:ascii="Times New Roman" w:hAnsi="Times New Roman"/>
          <w:color w:val="00000A"/>
          <w:sz w:val="24"/>
          <w:szCs w:val="24"/>
        </w:rPr>
      </w:r>
    </w:p>
    <w:p>
      <w:pPr>
        <w:pStyle w:val="NormalWeb"/>
        <w:spacing w:beforeAutospacing="0" w:before="0" w:afterAutospacing="0" w:after="0"/>
        <w:contextualSpacing/>
        <w:jc w:val="center"/>
        <w:rPr>
          <w:rStyle w:val="Strong"/>
          <w:rFonts w:ascii="Times New Roman" w:hAnsi="Times New Roman" w:cs="Times New Roman"/>
          <w:color w:val="00000A"/>
          <w:sz w:val="24"/>
          <w:szCs w:val="24"/>
        </w:rPr>
      </w:pPr>
      <w:r>
        <w:rPr>
          <w:rStyle w:val="Strong"/>
          <w:rFonts w:cs="Times New Roman" w:ascii="Times New Roman" w:hAnsi="Times New Roman"/>
          <w:color w:val="00000A"/>
          <w:sz w:val="24"/>
          <w:szCs w:val="24"/>
        </w:rPr>
        <w:t>Перечень государственных услуг,</w:t>
      </w:r>
    </w:p>
    <w:p>
      <w:pPr>
        <w:pStyle w:val="NormalWeb"/>
        <w:spacing w:beforeAutospacing="0" w:before="0" w:afterAutospacing="0" w:after="0"/>
        <w:contextualSpacing/>
        <w:jc w:val="center"/>
        <w:rPr>
          <w:rStyle w:val="Strong"/>
          <w:rFonts w:ascii="Times New Roman" w:hAnsi="Times New Roman" w:cs="Times New Roman"/>
          <w:color w:val="00000A"/>
          <w:sz w:val="24"/>
          <w:szCs w:val="24"/>
        </w:rPr>
      </w:pPr>
      <w:r>
        <w:rPr>
          <w:rStyle w:val="Strong"/>
          <w:rFonts w:cs="Times New Roman" w:ascii="Times New Roman" w:hAnsi="Times New Roman"/>
          <w:color w:val="00000A"/>
          <w:sz w:val="24"/>
          <w:szCs w:val="24"/>
        </w:rPr>
        <w:t>предоставляемых Администрацией Лахденпохского муниципального района</w:t>
      </w:r>
    </w:p>
    <w:p>
      <w:pPr>
        <w:pStyle w:val="NormalWeb"/>
        <w:spacing w:beforeAutospacing="0" w:before="0" w:afterAutospacing="0" w:after="0"/>
        <w:contextualSpacing/>
        <w:jc w:val="center"/>
        <w:rPr>
          <w:rStyle w:val="Strong"/>
          <w:rFonts w:ascii="Times New Roman" w:hAnsi="Times New Roman" w:cs="Times New Roman"/>
          <w:color w:val="00000A"/>
          <w:sz w:val="24"/>
          <w:szCs w:val="24"/>
        </w:rPr>
      </w:pPr>
      <w:r>
        <w:rPr>
          <w:rStyle w:val="Strong"/>
          <w:rFonts w:cs="Times New Roman" w:ascii="Times New Roman" w:hAnsi="Times New Roman"/>
          <w:color w:val="00000A"/>
          <w:sz w:val="24"/>
          <w:szCs w:val="24"/>
        </w:rPr>
        <w:t>в рамках переданных полномочий Республики Карелия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10490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49"/>
        <w:gridCol w:w="5670"/>
        <w:gridCol w:w="3971"/>
      </w:tblGrid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6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государственной услуги</w:t>
            </w:r>
          </w:p>
        </w:tc>
        <w:tc>
          <w:tcPr>
            <w:tcW w:w="39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Наименование структурного подразделения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дминистрации, предоставляющего муниципальн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ую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услуг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</w:t>
            </w:r>
          </w:p>
        </w:tc>
      </w:tr>
      <w:tr>
        <w:trPr/>
        <w:tc>
          <w:tcPr>
            <w:tcW w:w="10490" w:type="dxa"/>
            <w:gridSpan w:val="3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Style w:val="Strong"/>
                <w:rFonts w:cs="Times New Roman" w:ascii="Times New Roman" w:hAnsi="Times New Roman"/>
                <w:color w:val="000000"/>
                <w:sz w:val="24"/>
                <w:szCs w:val="24"/>
              </w:rPr>
              <w:t>Услуги в сфере социальной защиты населения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Выплата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39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Районное управление образования и по делам молодежи</w:t>
            </w:r>
          </w:p>
        </w:tc>
      </w:tr>
      <w:tr>
        <w:trPr/>
        <w:tc>
          <w:tcPr>
            <w:tcW w:w="10490" w:type="dxa"/>
            <w:gridSpan w:val="3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rong"/>
                <w:rFonts w:cs="Times New Roman" w:ascii="Times New Roman" w:hAnsi="Times New Roman"/>
                <w:color w:val="000000"/>
                <w:sz w:val="24"/>
                <w:szCs w:val="24"/>
              </w:rPr>
              <w:t>Услуги в сфере опеки и попечительства (патронажа)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Установление опеки и попечительства над малолетними и несовершеннолетними</w:t>
            </w:r>
          </w:p>
        </w:tc>
        <w:tc>
          <w:tcPr>
            <w:tcW w:w="39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Принятие решения об однократном предоставлении благоустроенных жилых помещений специализированного жилищного фонда по договорам найма специализированных жилых помещений, лицам, указанным в части 6 ст. 3 Закона РК от 28 ноября 2005 года № 921-ЗРК «О государственном обеспечении и социальной поддержке детей-сирот и детей, оставшихся без попечения родителей»</w:t>
            </w:r>
          </w:p>
        </w:tc>
        <w:tc>
          <w:tcPr>
            <w:tcW w:w="39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Выдача предварительных разрешений опекунам (родителям, приемным родителям, усыновителям), согласия-попечителям (родителям, приемным родителям, усыновителям) на совершение сделок по сдаче имущества подопечного (ребенка) в наем, в аренду, в безвозмездное пользование или в залог, по отчуждению имущества подопечного (ребенка) (в том числе по обмену или дарению), совершение сделок, влекущих за собой отказ от принадлежащих подопечному (ребенку) прав, раздел его имущества или выдел из него долей, и на совершение любых других сделок, влекущих за собой уменьшение стоимости имущества подопечного (ребенка)</w:t>
            </w:r>
          </w:p>
        </w:tc>
        <w:tc>
          <w:tcPr>
            <w:tcW w:w="39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Выдача разрешений на перемену имени лиц, не достигших возраста четырнадцати лет, а также на изменение присвоенной им фамилии</w:t>
            </w:r>
          </w:p>
        </w:tc>
        <w:tc>
          <w:tcPr>
            <w:tcW w:w="39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Выдача согласия на заключение трудового договора с лицом, получающим общее образование и достигшим возраста четырнадцати лет, для выполнения в свободное от получения образования время легкого труда, не причиняющего вреда здоровью и без ущерба для освоения образовательной программы</w:t>
            </w:r>
          </w:p>
        </w:tc>
        <w:tc>
          <w:tcPr>
            <w:tcW w:w="39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67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Выдача разрешения на заключение трудового договора с лицами, не достигшими возраста четырнадцати лет, для участия в создании и (или) исполнении (экспонировании) произведений без ущерба здоровью и нравственному развитию в организациях кинематографии, театрах, театральных и концертных организациях, цирках</w:t>
            </w:r>
          </w:p>
        </w:tc>
        <w:tc>
          <w:tcPr>
            <w:tcW w:w="39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67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Установление опеки или попечительства над совершеннолетними гражданами, признанными судом недееспособными или не полностью дееспособными</w:t>
            </w:r>
          </w:p>
        </w:tc>
        <w:tc>
          <w:tcPr>
            <w:tcW w:w="39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</w:t>
            </w:r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670" w:type="dxa"/>
            <w:tcBorders>
              <w:top w:val="nil"/>
            </w:tcBorders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Выдача заключения о возможности гражданина быть опекуном (попечителем), усыновителем</w:t>
            </w:r>
          </w:p>
        </w:tc>
        <w:tc>
          <w:tcPr>
            <w:tcW w:w="397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_DdeLink__5898_1308705163"/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</w:t>
            </w:r>
            <w:bookmarkEnd w:id="0"/>
          </w:p>
        </w:tc>
      </w:tr>
      <w:tr>
        <w:trPr/>
        <w:tc>
          <w:tcPr>
            <w:tcW w:w="8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670" w:type="dxa"/>
            <w:tcBorders>
              <w:top w:val="nil"/>
            </w:tcBorders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Выдача разрешений гражданам на совершение сделок с имуществом, принадлежащим на праве собственности несовершеннолетним</w:t>
            </w:r>
          </w:p>
        </w:tc>
        <w:tc>
          <w:tcPr>
            <w:tcW w:w="397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социальной работы</w:t>
            </w:r>
          </w:p>
        </w:tc>
      </w:tr>
      <w:tr>
        <w:trPr/>
        <w:tc>
          <w:tcPr>
            <w:tcW w:w="10490" w:type="dxa"/>
            <w:gridSpan w:val="3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rong"/>
                <w:rFonts w:cs="Times New Roman" w:ascii="Times New Roman" w:hAnsi="Times New Roman"/>
                <w:color w:val="000000"/>
                <w:sz w:val="24"/>
                <w:szCs w:val="24"/>
              </w:rPr>
              <w:t>Услуги по регулированию цен (тарифов) на товары (услуги)</w:t>
            </w:r>
          </w:p>
        </w:tc>
      </w:tr>
      <w:tr>
        <w:trPr/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uto" w:line="240" w:before="0" w:after="0"/>
              <w:contextualSpacing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Регулирование цен (тарифов) на отдельные виды продукции, товаров и услуг</w:t>
            </w:r>
          </w:p>
        </w:tc>
        <w:tc>
          <w:tcPr>
            <w:tcW w:w="39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экономики и инвестиционной политики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851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 CYR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71f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d732e8"/>
    <w:rPr>
      <w:b/>
      <w:bCs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c12620"/>
    <w:pPr>
      <w:spacing w:lineRule="auto" w:line="240" w:beforeAutospacing="1" w:afterAutospacing="1"/>
    </w:pPr>
    <w:rPr>
      <w:rFonts w:ascii="Arial CYR" w:hAnsi="Arial CYR" w:eastAsia="Times New Roman" w:cs="Arial CYR"/>
      <w:color w:val="283555"/>
      <w:sz w:val="20"/>
      <w:szCs w:val="20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1262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Application>LibreOffice/6.0.3.2$Windows_x86 LibreOffice_project/8f48d515416608e3a835360314dac7e47fd0b821</Application>
  <Pages>6</Pages>
  <Words>1455</Words>
  <Characters>10534</Characters>
  <CharactersWithSpaces>11906</CharactersWithSpaces>
  <Paragraphs>200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2016-03-29T06:56:00Z</dcterms:created>
  <dc:creator>Admin</dc:creator>
  <dc:description/>
  <dc:language>ru-RU</dc:language>
  <cp:lastModifiedBy/>
  <cp:lastPrinted>2020-01-13T09:55:48Z</cp:lastPrinted>
  <dcterms:modified xsi:type="dcterms:W3CDTF">2020-01-20T11:03:15Z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