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>января 2022 г.</w:t>
        <w:tab/>
        <w:tab/>
        <w:tab/>
        <w:tab/>
        <w:tab/>
        <w:t xml:space="preserve">                                                    № </w:t>
      </w:r>
      <w:r>
        <w:rPr>
          <w:sz w:val="28"/>
          <w:szCs w:val="28"/>
        </w:rPr>
        <w:t>29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«Земля Плюс» подготовить проект межевания части территории кадастрового квартала 10:12:0010504 под многоквартирным жилым домом, расположенным по адресу: г.Лахденпохья, ул.Советская, д.34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«Земля Плюс» о разрешении разработки проекта межевания части территории кадастрового квартала 10:12:0010504 под многоквартирным жилым домом, расположенным по адресу: г.Лахденпохья, ул.Советская, д.34 (вх. 194 от 14.01.2022),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Лахденпохского городского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«Земля Плюс» подготовку проекта межевания части территории кадастрового квартала 10:12:010504 под многоквартирным жилым домом, расположенным по адресу: г.Лахденпохья, ул.Советская, д.34.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sz w:val="28"/>
      <w:szCs w:val="28"/>
    </w:rPr>
  </w:style>
  <w:style w:type="character" w:styleId="ListLabel42">
    <w:name w:val="ListLabel 42"/>
    <w:qFormat/>
    <w:rPr>
      <w:sz w:val="28"/>
      <w:szCs w:val="28"/>
    </w:rPr>
  </w:style>
  <w:style w:type="character" w:styleId="ListLabel43">
    <w:name w:val="ListLabel 43"/>
    <w:qFormat/>
    <w:rPr>
      <w:sz w:val="28"/>
      <w:szCs w:val="28"/>
    </w:rPr>
  </w:style>
  <w:style w:type="character" w:styleId="ListLabel44">
    <w:name w:val="ListLabel 44"/>
    <w:qFormat/>
    <w:rPr>
      <w:sz w:val="28"/>
      <w:szCs w:val="28"/>
    </w:rPr>
  </w:style>
  <w:style w:type="character" w:styleId="ListLabel45">
    <w:name w:val="ListLabel 45"/>
    <w:qFormat/>
    <w:rPr>
      <w:sz w:val="28"/>
      <w:szCs w:val="28"/>
    </w:rPr>
  </w:style>
  <w:style w:type="character" w:styleId="ListLabel46">
    <w:name w:val="ListLabel 46"/>
    <w:qFormat/>
    <w:rPr>
      <w:sz w:val="28"/>
      <w:szCs w:val="28"/>
    </w:rPr>
  </w:style>
  <w:style w:type="character" w:styleId="ListLabel47">
    <w:name w:val="ListLabel 47"/>
    <w:qFormat/>
    <w:rPr>
      <w:sz w:val="28"/>
      <w:szCs w:val="28"/>
    </w:rPr>
  </w:style>
  <w:style w:type="character" w:styleId="ListLabel48">
    <w:name w:val="ListLabel 48"/>
    <w:qFormat/>
    <w:rPr>
      <w:sz w:val="28"/>
      <w:szCs w:val="28"/>
    </w:rPr>
  </w:style>
  <w:style w:type="character" w:styleId="ListLabel49">
    <w:name w:val="ListLabel 49"/>
    <w:qFormat/>
    <w:rPr>
      <w:sz w:val="28"/>
      <w:szCs w:val="28"/>
    </w:rPr>
  </w:style>
  <w:style w:type="character" w:styleId="ListLabel50">
    <w:name w:val="ListLabel 50"/>
    <w:qFormat/>
    <w:rPr>
      <w:sz w:val="28"/>
      <w:szCs w:val="28"/>
    </w:rPr>
  </w:style>
  <w:style w:type="character" w:styleId="ListLabel51">
    <w:name w:val="ListLabel 51"/>
    <w:qFormat/>
    <w:rPr>
      <w:sz w:val="28"/>
      <w:szCs w:val="28"/>
    </w:rPr>
  </w:style>
  <w:style w:type="character" w:styleId="ListLabel52">
    <w:name w:val="ListLabel 52"/>
    <w:qFormat/>
    <w:rPr>
      <w:sz w:val="28"/>
      <w:szCs w:val="28"/>
    </w:rPr>
  </w:style>
  <w:style w:type="character" w:styleId="ListLabel53">
    <w:name w:val="ListLabel 53"/>
    <w:qFormat/>
    <w:rPr>
      <w:sz w:val="28"/>
      <w:szCs w:val="28"/>
    </w:rPr>
  </w:style>
  <w:style w:type="character" w:styleId="ListLabel54">
    <w:name w:val="ListLabel 54"/>
    <w:qFormat/>
    <w:rPr>
      <w:sz w:val="28"/>
      <w:szCs w:val="28"/>
    </w:rPr>
  </w:style>
  <w:style w:type="character" w:styleId="ListLabel55">
    <w:name w:val="ListLabel 55"/>
    <w:qFormat/>
    <w:rPr>
      <w:sz w:val="28"/>
      <w:szCs w:val="28"/>
    </w:rPr>
  </w:style>
  <w:style w:type="character" w:styleId="ListLabel56">
    <w:name w:val="ListLabel 56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Application>LibreOffice/6.1.0.3$Windows_X86_64 LibreOffice_project/efb621ed25068d70781dc026f7e9c5187a4decd1</Application>
  <Pages>2</Pages>
  <Words>245</Words>
  <Characters>1850</Characters>
  <CharactersWithSpaces>2205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2021-12-10T17:00:13Z</cp:lastPrinted>
  <dcterms:modified xsi:type="dcterms:W3CDTF">2022-01-25T12:29:55Z</dcterms:modified>
  <cp:revision>127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