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  <w:t>РЕСПУБЛИКА КАРЕЛИЯ</w:t>
      </w:r>
    </w:p>
    <w:p>
      <w:pPr>
        <w:pStyle w:val="Normal"/>
        <w:jc w:val="center"/>
        <w:rPr/>
      </w:pPr>
      <w:r>
        <w:rPr/>
        <w:t>АДМИНИСТРАЦИЯ ЛАХДЕНПОХСКОГО МУНИЦИПАЛЬНОГО РАЙОНА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t>ПОСТАНОВЛЕНИЕ</w:t>
      </w:r>
    </w:p>
    <w:p>
      <w:pPr>
        <w:pStyle w:val="Normal"/>
        <w:jc w:val="center"/>
        <w:rPr/>
      </w:pPr>
      <w:r>
        <w:rPr/>
        <w:t xml:space="preserve"> </w:t>
      </w:r>
    </w:p>
    <w:p>
      <w:pPr>
        <w:pStyle w:val="Normal"/>
        <w:rPr/>
      </w:pPr>
      <w:r>
        <w:rPr>
          <w:u w:val="single" w:color="FFFFFF"/>
        </w:rPr>
        <w:t xml:space="preserve">  </w:t>
      </w:r>
      <w:r>
        <w:rPr>
          <w:u w:val="single" w:color="FFFFFF"/>
        </w:rPr>
        <w:t>11</w:t>
      </w:r>
      <w:r>
        <w:rPr/>
        <w:t xml:space="preserve"> января 2019 г.</w:t>
        <w:tab/>
        <w:tab/>
        <w:tab/>
        <w:tab/>
        <w:tab/>
        <w:tab/>
        <w:tab/>
        <w:tab/>
        <w:tab/>
        <w:t xml:space="preserve">        № </w:t>
      </w:r>
      <w:r>
        <w:rPr/>
        <w:t>04</w:t>
      </w:r>
    </w:p>
    <w:p>
      <w:pPr>
        <w:pStyle w:val="Normal"/>
        <w:rPr/>
      </w:pPr>
      <w:r>
        <w:rPr/>
        <w:t xml:space="preserve">   </w:t>
      </w:r>
      <w:r>
        <w:rPr/>
        <w:t>г. Лахденпохья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9571" w:type="dxa"/>
        <w:jc w:val="left"/>
        <w:tblInd w:w="0" w:type="dxa"/>
        <w:tblBorders/>
        <w:tblCellMar>
          <w:top w:w="55" w:type="dxa"/>
          <w:left w:w="107" w:type="dxa"/>
          <w:bottom w:w="55" w:type="dxa"/>
          <w:right w:w="108" w:type="dxa"/>
        </w:tblCellMar>
      </w:tblPr>
      <w:tblGrid>
        <w:gridCol w:w="5067"/>
        <w:gridCol w:w="4503"/>
      </w:tblGrid>
      <w:tr>
        <w:trPr>
          <w:trHeight w:val="1345" w:hRule="atLeast"/>
        </w:trPr>
        <w:tc>
          <w:tcPr>
            <w:tcW w:w="5067" w:type="dxa"/>
            <w:tcBorders/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О внесении изменений в Приложение № 1 Постановления </w:t>
            </w:r>
            <w:r>
              <w:rPr>
                <w:rFonts w:cs="Times New Roman"/>
                <w:sz w:val="24"/>
                <w:szCs w:val="24"/>
              </w:rPr>
              <w:t>Администрации Лахденпохского муниципального района от 30.10.2017 г. № 471 «</w:t>
            </w:r>
            <w:r>
              <w:rPr/>
              <w:t>Об   утверждении  муниципальной  программы  «Развитие сферы культуры и организация работы с молодёжью в Лахденпохском муниципальном районе» на 2017 - 2021 г.г.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4503" w:type="dxa"/>
            <w:tcBorders/>
            <w:shd w:fill="FFFFFF" w:val="clear"/>
          </w:tcPr>
          <w:p>
            <w:pPr>
              <w:pStyle w:val="Normal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</w:tr>
    </w:tbl>
    <w:p>
      <w:pPr>
        <w:pStyle w:val="Normal"/>
        <w:ind w:left="0" w:right="0" w:firstLine="360"/>
        <w:jc w:val="both"/>
        <w:rPr/>
      </w:pPr>
      <w:r>
        <w:rPr>
          <w:sz w:val="24"/>
          <w:szCs w:val="24"/>
        </w:rPr>
        <w:tab/>
        <w:t xml:space="preserve">В целях достижения качества результатов при реализации </w:t>
      </w:r>
      <w:r>
        <w:rPr>
          <w:rFonts w:cs="Times New Roman"/>
          <w:sz w:val="24"/>
          <w:szCs w:val="24"/>
        </w:rPr>
        <w:t xml:space="preserve">муниципальной  программы «Развитие сферы культуры и организация работы с молодёжью в Лахденпохском муниципальном районе» на 2017 - 2021 г.г.», на основании Постановления Администрации Лахденпохского муниципального района от 19.02.2018 г. № 75 «Об изменении типа муниципального казённого учреждения культуры «Межпоселенческая библиотека Лахденпохского муниципального района» в целях создания муниципального бюджетного учреждения «Межпоселенческая библиотека Лахденпохского муниципального района», Администрация Лахденпохского муниципального района ПОСТАНОВЛЯЕТ: </w:t>
      </w:r>
    </w:p>
    <w:p>
      <w:pPr>
        <w:pStyle w:val="Normal"/>
        <w:jc w:val="both"/>
        <w:rPr/>
      </w:pPr>
      <w:r>
        <w:rPr/>
      </w:r>
    </w:p>
    <w:p>
      <w:pPr>
        <w:pStyle w:val="Normal"/>
        <w:widowControl/>
        <w:numPr>
          <w:ilvl w:val="0"/>
          <w:numId w:val="13"/>
        </w:numPr>
        <w:tabs>
          <w:tab w:val="clear" w:pos="720"/>
          <w:tab w:val="left" w:pos="570" w:leader="none"/>
          <w:tab w:val="left" w:pos="993" w:leader="none"/>
        </w:tabs>
        <w:bidi w:val="0"/>
        <w:ind w:left="0" w:right="0" w:firstLine="170"/>
        <w:jc w:val="both"/>
        <w:rPr/>
      </w:pPr>
      <w:r>
        <w:rPr/>
        <w:t xml:space="preserve">Внести изменения в Приложение № 1 Постановления </w:t>
      </w:r>
      <w:r>
        <w:rPr>
          <w:rFonts w:cs="Times New Roman"/>
          <w:sz w:val="24"/>
          <w:szCs w:val="24"/>
        </w:rPr>
        <w:t>Администрации Лахденпохского муниципального района от 30.10.2017 г. № 471 «</w:t>
      </w:r>
      <w:r>
        <w:rPr/>
        <w:t xml:space="preserve">Об утверждении  муниципальной  программы  «Развитие сферы культуры и организация работы с молодёжью в Лахденпохском муниципальном районе» на 2017 - 2021 г.г. </w:t>
      </w:r>
    </w:p>
    <w:p>
      <w:pPr>
        <w:pStyle w:val="Normal"/>
        <w:ind w:left="1863" w:right="0" w:hanging="0"/>
        <w:jc w:val="both"/>
        <w:rPr/>
      </w:pPr>
      <w:r>
        <w:rPr/>
      </w:r>
    </w:p>
    <w:p>
      <w:pPr>
        <w:pStyle w:val="Normal"/>
        <w:widowControl/>
        <w:numPr>
          <w:ilvl w:val="0"/>
          <w:numId w:val="13"/>
        </w:numPr>
        <w:tabs>
          <w:tab w:val="clear" w:pos="720"/>
          <w:tab w:val="left" w:pos="570" w:leader="none"/>
          <w:tab w:val="left" w:pos="993" w:leader="none"/>
        </w:tabs>
        <w:bidi w:val="0"/>
        <w:ind w:left="0" w:right="0" w:firstLine="170"/>
        <w:jc w:val="both"/>
        <w:rPr/>
      </w:pPr>
      <w:r>
        <w:rPr/>
        <w:t xml:space="preserve">Приложение № 1 Постановления </w:t>
      </w:r>
      <w:r>
        <w:rPr>
          <w:rFonts w:cs="Times New Roman"/>
          <w:sz w:val="24"/>
          <w:szCs w:val="24"/>
        </w:rPr>
        <w:t>Администрации Лахденпохского муниципального района от 30.10.2017 г. № 471 «</w:t>
      </w:r>
      <w:r>
        <w:rPr/>
        <w:t>Об   утверждении  муниципальной  программы  «Развитие сферы культуры и организация работы с молодёжью в Лахденпохском муниципальном районе» на 2017 - 2021 г.г. читать в новой редакции.</w:t>
      </w:r>
    </w:p>
    <w:p>
      <w:pPr>
        <w:pStyle w:val="Normal"/>
        <w:ind w:left="1863" w:right="0" w:hanging="0"/>
        <w:jc w:val="both"/>
        <w:rPr/>
      </w:pPr>
      <w:r>
        <w:rPr/>
      </w:r>
    </w:p>
    <w:p>
      <w:pPr>
        <w:pStyle w:val="Normal"/>
        <w:widowControl/>
        <w:numPr>
          <w:ilvl w:val="0"/>
          <w:numId w:val="13"/>
        </w:numPr>
        <w:tabs>
          <w:tab w:val="clear" w:pos="720"/>
          <w:tab w:val="left" w:pos="390" w:leader="none"/>
          <w:tab w:val="left" w:pos="570" w:leader="none"/>
        </w:tabs>
        <w:bidi w:val="0"/>
        <w:ind w:left="0" w:right="0" w:firstLine="170"/>
        <w:jc w:val="both"/>
        <w:rPr/>
      </w:pPr>
      <w:r>
        <w:rPr/>
        <w:t xml:space="preserve"> </w:t>
      </w:r>
      <w:r>
        <w:rPr/>
        <w:t>Разместить данное постановление на официальном сайте Администрации Лахденпохского муниципального района.</w:t>
      </w:r>
    </w:p>
    <w:p>
      <w:pPr>
        <w:pStyle w:val="Normal"/>
        <w:ind w:left="0" w:right="0" w:firstLine="708"/>
        <w:jc w:val="both"/>
        <w:rPr/>
      </w:pPr>
      <w:r>
        <w:rPr/>
      </w:r>
    </w:p>
    <w:p>
      <w:pPr>
        <w:pStyle w:val="Normal"/>
        <w:widowControl/>
        <w:numPr>
          <w:ilvl w:val="0"/>
          <w:numId w:val="13"/>
        </w:numPr>
        <w:tabs>
          <w:tab w:val="clear" w:pos="720"/>
          <w:tab w:val="left" w:pos="570" w:leader="none"/>
        </w:tabs>
        <w:bidi w:val="0"/>
        <w:ind w:left="0" w:right="0" w:firstLine="170"/>
        <w:jc w:val="both"/>
        <w:rPr/>
      </w:pPr>
      <w:r>
        <w:rPr/>
        <w:t>Контроль за исполнением настоящего постановления возложить на и.о. заместителя Главы Администрации Лахденпохского муниципального района по социальной политике, начальника отдела социальной работы  Администрации Лахденпохского муниципального района И.В. Лорви.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Глава Администрации </w:t>
      </w:r>
    </w:p>
    <w:p>
      <w:pPr>
        <w:pStyle w:val="Normal"/>
        <w:jc w:val="both"/>
        <w:rPr/>
      </w:pPr>
      <w:r>
        <w:rPr/>
        <w:t>Лахденпохского муниципального района</w:t>
        <w:tab/>
        <w:tab/>
        <w:tab/>
        <w:t xml:space="preserve">      </w:t>
        <w:tab/>
        <w:tab/>
        <w:t>В.М. Пинигин</w:t>
      </w:r>
    </w:p>
    <w:p>
      <w:pPr>
        <w:pStyle w:val="Normal"/>
        <w:rPr/>
      </w:pPr>
      <w:r>
        <w:rPr/>
      </w:r>
    </w:p>
    <w:p>
      <w:pPr>
        <w:pStyle w:val="Normal"/>
        <w:spacing w:lineRule="auto" w:line="276"/>
        <w:jc w:val="right"/>
        <w:rPr/>
      </w:pPr>
      <w:r>
        <w:rPr/>
      </w:r>
    </w:p>
    <w:p>
      <w:pPr>
        <w:pStyle w:val="Normal"/>
        <w:spacing w:lineRule="auto" w:line="276"/>
        <w:jc w:val="right"/>
        <w:rPr/>
      </w:pPr>
      <w:r>
        <w:rPr/>
      </w:r>
    </w:p>
    <w:p>
      <w:pPr>
        <w:pStyle w:val="Normal"/>
        <w:spacing w:lineRule="auto" w:line="276"/>
        <w:jc w:val="right"/>
        <w:rPr/>
      </w:pPr>
      <w:r>
        <w:rPr/>
        <w:t>Приложение № 1 к Постановлению Администрации</w:t>
      </w:r>
    </w:p>
    <w:p>
      <w:pPr>
        <w:pStyle w:val="Normal"/>
        <w:spacing w:lineRule="auto" w:line="276"/>
        <w:jc w:val="right"/>
        <w:rPr/>
      </w:pPr>
      <w:r>
        <w:rPr/>
        <w:t>Лахденпохского муниципального района</w:t>
      </w:r>
    </w:p>
    <w:p>
      <w:pPr>
        <w:pStyle w:val="Normal"/>
        <w:spacing w:lineRule="auto" w:line="276"/>
        <w:jc w:val="right"/>
        <w:rPr/>
      </w:pPr>
      <w:r>
        <w:rPr/>
        <w:t>от «</w:t>
      </w:r>
      <w:r>
        <w:rPr>
          <w:u w:val="none" w:color="FFFFFF"/>
        </w:rPr>
        <w:t>11</w:t>
      </w:r>
      <w:r>
        <w:rPr/>
        <w:t xml:space="preserve">» января 2019 г. № </w:t>
      </w:r>
      <w:r>
        <w:rPr>
          <w:u w:val="single" w:color="FFFFFF"/>
        </w:rPr>
        <w:t xml:space="preserve"> </w:t>
      </w:r>
      <w:r>
        <w:rPr>
          <w:u w:val="single" w:color="FFFFFF"/>
        </w:rPr>
        <w:t>04</w:t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/>
      </w:pPr>
      <w:r>
        <w:rPr/>
        <w:t>Паспорт муниципальной программы</w:t>
      </w:r>
    </w:p>
    <w:p>
      <w:pPr>
        <w:pStyle w:val="Normal"/>
        <w:jc w:val="center"/>
        <w:rPr/>
      </w:pPr>
      <w:r>
        <w:rPr/>
        <w:t>«Развитие сферы культуры и организация работы с молодёжью в Лахденпохском муниципальном районе»  на 2017 – 2021 г.г.</w:t>
      </w:r>
    </w:p>
    <w:p>
      <w:pPr>
        <w:pStyle w:val="Normal"/>
        <w:jc w:val="both"/>
        <w:rPr>
          <w:sz w:val="28"/>
        </w:rPr>
      </w:pPr>
      <w:r>
        <w:rPr>
          <w:sz w:val="28"/>
        </w:rPr>
      </w:r>
    </w:p>
    <w:tbl>
      <w:tblPr>
        <w:tblW w:w="9645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69" w:type="dxa"/>
          <w:bottom w:w="0" w:type="dxa"/>
          <w:right w:w="74" w:type="dxa"/>
        </w:tblCellMar>
      </w:tblPr>
      <w:tblGrid>
        <w:gridCol w:w="3121"/>
        <w:gridCol w:w="6523"/>
      </w:tblGrid>
      <w:tr>
        <w:trPr>
          <w:trHeight w:val="1020" w:hRule="atLeast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rPr/>
            </w:pPr>
            <w:r>
              <w:rPr/>
              <w:t xml:space="preserve">Наименование муниципальной программы         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jc w:val="both"/>
              <w:rPr/>
            </w:pPr>
            <w:r>
              <w:rPr/>
              <w:t>Муниципальная программа «Развитие сферы культуры и организация работы с молодёжью в Лахденпохском муниципальном районе» на 2017 – 2021 г.г. (далее – Программа).</w:t>
            </w:r>
          </w:p>
        </w:tc>
      </w:tr>
      <w:tr>
        <w:trPr>
          <w:trHeight w:val="1" w:hRule="atLeast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>Основание для разработки Программы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>- Федеральный закон от 06.10.2003 г. № 131-ФЗ "Об общих принципах организации местного самоуправления в Российской Федерации";</w:t>
            </w:r>
          </w:p>
          <w:p>
            <w:pPr>
              <w:pStyle w:val="Normal"/>
              <w:jc w:val="both"/>
              <w:rPr/>
            </w:pPr>
            <w:r>
              <w:rPr/>
              <w:t>- Федеральный закон от 09.10.1992 г. № 3612 – 1 «Основы законодательства Российской Федерации о культуре» (с изменениями и дополнениями);</w:t>
            </w:r>
          </w:p>
          <w:p>
            <w:pPr>
              <w:pStyle w:val="Normal"/>
              <w:jc w:val="both"/>
              <w:rPr/>
            </w:pPr>
            <w:r>
              <w:rPr/>
              <w:t>- Федеральный закон от 29.12.1994 г. № 78 – ФЗ «О библиотечном деле» (с изменениями и дополнениями);</w:t>
            </w:r>
          </w:p>
          <w:p>
            <w:pPr>
              <w:pStyle w:val="Normal"/>
              <w:jc w:val="both"/>
              <w:rPr/>
            </w:pPr>
            <w:r>
              <w:rPr/>
              <w:t>- Федеральный закон от 24.11.1996 г. № 132 – ФЗ «Об основах туристской деятельности в Российской Федерации»;</w:t>
            </w:r>
          </w:p>
          <w:p>
            <w:pPr>
              <w:pStyle w:val="Normal"/>
              <w:jc w:val="both"/>
              <w:rPr/>
            </w:pPr>
            <w:r>
              <w:rPr/>
              <w:t>- Федеральный закон от 27.07.2010 N 210-ФЗ "Об организации предоставления государственных и муниципальных услуг" (с изменениями и дополнениями);</w:t>
            </w:r>
          </w:p>
          <w:p>
            <w:pPr>
              <w:pStyle w:val="Normal"/>
              <w:jc w:val="both"/>
              <w:rPr/>
            </w:pPr>
            <w:r>
              <w:rPr/>
              <w:t>- Государственная программа Республики Карелия «Развитие физической культуры, спорта, туризма и повышение эффективности реализации молодежной политики Республики Карелия» на 2014-2020 годы, утвержденная Постановлением Правительства Республики Карелия от 17.07.2014 г. № 228-П;</w:t>
            </w:r>
          </w:p>
          <w:p>
            <w:pPr>
              <w:pStyle w:val="Normal"/>
              <w:jc w:val="both"/>
              <w:rPr/>
            </w:pPr>
            <w:r>
              <w:rPr/>
              <w:t>- Федеральный закон от 18.01.2010 г. № 1359 ЗРК «О государственной молодежной политике в Республике Карелия» (с изменениями на 03.03.2015 г.);</w:t>
            </w:r>
          </w:p>
          <w:p>
            <w:pPr>
              <w:pStyle w:val="Normal"/>
              <w:jc w:val="both"/>
              <w:rPr/>
            </w:pPr>
            <w:r>
              <w:rPr/>
              <w:t>- Федеральный закон от 19.04.1991 г. № 1032 -1 «О занятости населения в Российской Федерации» (с изменениями и дополнениями);</w:t>
            </w:r>
          </w:p>
          <w:p>
            <w:pPr>
              <w:pStyle w:val="Normal"/>
              <w:jc w:val="both"/>
              <w:rPr/>
            </w:pPr>
            <w:r>
              <w:rPr/>
              <w:t>- Федеральный закон от 30.12.2001 г. № 197 – ФЗ «Трудовой кодекс  Российской Федерации»;</w:t>
            </w:r>
          </w:p>
          <w:p>
            <w:pPr>
              <w:pStyle w:val="Normal"/>
              <w:jc w:val="both"/>
              <w:rPr>
                <w:rFonts w:ascii="TimesNewRomanPSMT" w:hAnsi="TimesNewRomanPSMT"/>
                <w:sz w:val="24"/>
                <w:szCs w:val="24"/>
              </w:rPr>
            </w:pPr>
            <w:r>
              <w:rPr>
                <w:rFonts w:ascii="TimesNewRomanPSMT" w:hAnsi="TimesNewRomanPSMT"/>
                <w:sz w:val="24"/>
                <w:szCs w:val="24"/>
              </w:rPr>
              <w:t>- Федеральный закон от 22.10.2004 года № 125 — ФЗ «Об архивном деле в Российской Федерации»;</w:t>
            </w:r>
          </w:p>
          <w:p>
            <w:pPr>
              <w:pStyle w:val="Normal"/>
              <w:jc w:val="both"/>
              <w:rPr>
                <w:rFonts w:ascii="TimesNewRomanPSMT" w:hAnsi="TimesNewRomanPSMT"/>
                <w:sz w:val="24"/>
                <w:szCs w:val="24"/>
              </w:rPr>
            </w:pPr>
            <w:r>
              <w:rPr>
                <w:rFonts w:ascii="TimesNewRomanPSMT" w:hAnsi="TimesNewRomanPSMT"/>
                <w:sz w:val="24"/>
                <w:szCs w:val="24"/>
              </w:rPr>
              <w:t>- «Правила организации хранения, комплектования, учета и</w:t>
            </w:r>
          </w:p>
          <w:p>
            <w:pPr>
              <w:pStyle w:val="Normal"/>
              <w:jc w:val="both"/>
              <w:rPr>
                <w:rFonts w:ascii="TimesNewRomanPSMT" w:hAnsi="TimesNewRomanPSMT"/>
                <w:sz w:val="24"/>
                <w:szCs w:val="24"/>
              </w:rPr>
            </w:pPr>
            <w:r>
              <w:rPr>
                <w:rFonts w:ascii="TimesNewRomanPSMT" w:hAnsi="TimesNewRomanPSMT"/>
                <w:sz w:val="24"/>
                <w:szCs w:val="24"/>
              </w:rPr>
              <w:t>использования документов Архивного фонда РФ и других архивных документов в государственных и муниципальных</w:t>
            </w:r>
          </w:p>
          <w:p>
            <w:pPr>
              <w:pStyle w:val="Normal"/>
              <w:jc w:val="both"/>
              <w:rPr/>
            </w:pPr>
            <w:r>
              <w:rPr>
                <w:rFonts w:ascii="TimesNewRomanPSMT" w:hAnsi="TimesNewRomanPSMT"/>
                <w:sz w:val="24"/>
                <w:szCs w:val="24"/>
              </w:rPr>
              <w:t xml:space="preserve">архивах, музеях и библиотеках, организациях Российской академии наук» утвержденные Приказом Министерства культуры и массовых коммуникаций Российской Федерации от 18.01.2007 года № </w:t>
            </w:r>
            <w:r>
              <w:rPr>
                <w:sz w:val="24"/>
                <w:szCs w:val="24"/>
              </w:rPr>
              <w:t>19;</w:t>
            </w:r>
          </w:p>
          <w:p>
            <w:pPr>
              <w:pStyle w:val="Normal"/>
              <w:tabs>
                <w:tab w:val="clear" w:pos="720"/>
                <w:tab w:val="left" w:pos="140" w:leader="none"/>
                <w:tab w:val="left" w:pos="281" w:leader="none"/>
                <w:tab w:val="left" w:pos="345" w:leader="none"/>
              </w:tabs>
              <w:jc w:val="both"/>
              <w:rPr/>
            </w:pPr>
            <w:r>
              <w:rPr/>
              <w:t>-Постановление Администрации Лахденпохского муниципального района от 30.07.2014 г. № 1441 «О порядке разработки, реализации и оценке эффективности муниципальных программ Лахденпохского муниципального района».</w:t>
            </w:r>
          </w:p>
        </w:tc>
      </w:tr>
      <w:tr>
        <w:trPr>
          <w:trHeight w:val="518" w:hRule="atLeast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rPr/>
            </w:pPr>
            <w:r>
              <w:rPr/>
              <w:t xml:space="preserve">Ответственный исполнитель и разработчик Программы            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jc w:val="both"/>
              <w:rPr/>
            </w:pPr>
            <w:r>
              <w:rPr/>
              <w:t>Отдел социальной работы Администрации Лахденпохского муниципального района (ОСР АЛМР)</w:t>
            </w:r>
          </w:p>
        </w:tc>
      </w:tr>
      <w:tr>
        <w:trPr>
          <w:trHeight w:val="276" w:hRule="atLeast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rPr/>
            </w:pPr>
            <w:r>
              <w:rPr/>
              <w:t>Соисполнители Программы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>МУ «Районное управление образования и по делам молодёжи» (МУ «РУО и ДМ»)</w:t>
            </w:r>
          </w:p>
        </w:tc>
      </w:tr>
      <w:tr>
        <w:trPr>
          <w:trHeight w:val="600" w:hRule="atLeast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rPr/>
            </w:pPr>
            <w:r>
              <w:rPr/>
              <w:t>Участники Программы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>МБУК «Куркиёкский краеведческий центр» (МБУК «ККЦ»);</w:t>
            </w:r>
          </w:p>
          <w:p>
            <w:pPr>
              <w:pStyle w:val="Normal"/>
              <w:jc w:val="both"/>
              <w:rPr/>
            </w:pPr>
            <w:r>
              <w:rPr/>
              <w:t>МБУ «Межпоселенческая библиотека Лахденпохского муниципального района»  (МБУ «МБ ЛМР»);</w:t>
            </w:r>
          </w:p>
          <w:p>
            <w:pPr>
              <w:pStyle w:val="Normal"/>
              <w:jc w:val="both"/>
              <w:rPr/>
            </w:pPr>
            <w:r>
              <w:rPr/>
              <w:t>МБУ ДО «Детская школа искусств» (МБУ ДО «ДШИ»);</w:t>
            </w:r>
          </w:p>
          <w:p>
            <w:pPr>
              <w:pStyle w:val="Normal"/>
              <w:jc w:val="both"/>
              <w:rPr/>
            </w:pPr>
            <w:r>
              <w:rPr/>
              <w:t>МБО ДО «Лахденпохский центр детского творчества» (МБО ДО «ЛЦДТ»);</w:t>
            </w:r>
          </w:p>
          <w:p>
            <w:pPr>
              <w:pStyle w:val="Normal"/>
              <w:jc w:val="both"/>
              <w:rPr/>
            </w:pPr>
            <w:r>
              <w:rPr/>
              <w:t>МКОУ «Лахденпохская СОШ» (МКОУ «ЛСОШ»);</w:t>
            </w:r>
          </w:p>
          <w:p>
            <w:pPr>
              <w:pStyle w:val="Normal"/>
              <w:jc w:val="both"/>
              <w:rPr/>
            </w:pPr>
            <w:r>
              <w:rPr/>
              <w:t>МКУ «Лахденпохский архив»;</w:t>
            </w:r>
          </w:p>
          <w:p>
            <w:pPr>
              <w:pStyle w:val="Normal"/>
              <w:jc w:val="both"/>
              <w:rPr/>
            </w:pPr>
            <w:r>
              <w:rPr/>
              <w:t>ГКУ РК «Центр занятости населения Лахденпохского района» (ГКУ РК «ЦЗН»).</w:t>
            </w:r>
          </w:p>
        </w:tc>
      </w:tr>
      <w:tr>
        <w:trPr>
          <w:trHeight w:val="600" w:hRule="atLeast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rPr/>
            </w:pPr>
            <w:r>
              <w:rPr/>
              <w:t xml:space="preserve">Перечень Подпрограмм     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>Подпрограмма 1 «Развитие муниципальных учреждений в сфере культуры» (далее – Подпрограмма 1)</w:t>
            </w:r>
          </w:p>
          <w:p>
            <w:pPr>
              <w:pStyle w:val="Normal"/>
              <w:jc w:val="both"/>
              <w:rPr/>
            </w:pPr>
            <w:r>
              <w:rPr/>
              <w:t>Подпрограмма 2 «Комплексные мероприятия в области работы с молодёжью» (далее – Подпрограмма 2)</w:t>
            </w:r>
          </w:p>
          <w:p>
            <w:pPr>
              <w:pStyle w:val="Normal"/>
              <w:jc w:val="both"/>
              <w:rPr/>
            </w:pPr>
            <w:r>
              <w:rPr/>
              <w:t>Подпрограмма 3 «Содействие занятости несовершеннолетних граждан» (далее – Подпрограмма 3)</w:t>
            </w:r>
          </w:p>
        </w:tc>
      </w:tr>
      <w:tr>
        <w:trPr>
          <w:trHeight w:val="600" w:hRule="atLeast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 xml:space="preserve">Цель Программы          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>Цель 1. Сохранение культурного и исторического наследия района, обеспечение доступа граждан к культурным ценностям и информации, создание условий для обеспечения услугами муниципальных учреждений культуры жителей Лахденпохского муниципального района</w:t>
            </w:r>
          </w:p>
          <w:p>
            <w:pPr>
              <w:pStyle w:val="Normal"/>
              <w:jc w:val="both"/>
              <w:rPr/>
            </w:pPr>
            <w:r>
              <w:rPr/>
              <w:t>Цель 2. Развитие потенциала и интеграция молодежи в социально - экономическую, культурную и общественную жизнь района.</w:t>
            </w:r>
          </w:p>
        </w:tc>
      </w:tr>
      <w:tr>
        <w:trPr>
          <w:trHeight w:val="1692" w:hRule="atLeast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>Задачи Программы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>Задача 1. Сохранение культурного и исторического наследия района, обеспечение доступа граждан к культурным ценностям и участию в культурной жизни, реализация творческого потенциала граждан  района.</w:t>
            </w:r>
          </w:p>
          <w:p>
            <w:pPr>
              <w:pStyle w:val="Normal"/>
              <w:jc w:val="both"/>
              <w:rPr/>
            </w:pPr>
            <w:r>
              <w:rPr/>
              <w:t>Задача 2. Поддержка и развитие художественно-творческой деятельности.</w:t>
            </w:r>
          </w:p>
          <w:p>
            <w:pPr>
              <w:pStyle w:val="Normal"/>
              <w:jc w:val="both"/>
              <w:rPr/>
            </w:pPr>
            <w:r>
              <w:rPr/>
              <w:t>Задача 3. Создание условий для развития социальной активности  молодёжи.</w:t>
            </w:r>
          </w:p>
          <w:p>
            <w:pPr>
              <w:pStyle w:val="Normal"/>
              <w:tabs>
                <w:tab w:val="clear" w:pos="720"/>
                <w:tab w:val="left" w:pos="1274" w:leader="none"/>
              </w:tabs>
              <w:jc w:val="both"/>
              <w:rPr/>
            </w:pPr>
            <w:r>
              <w:rPr/>
              <w:t>Задача 4. Организация временной занятости и трудоустройства несовершеннолетних граждан в возрасте от 14 до 18 лет.</w:t>
            </w:r>
          </w:p>
        </w:tc>
      </w:tr>
      <w:tr>
        <w:trPr>
          <w:trHeight w:val="682" w:hRule="atLeast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>Конечные результаты муниципальной программы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281" w:leader="none"/>
              </w:tabs>
              <w:jc w:val="both"/>
              <w:rPr/>
            </w:pPr>
            <w:r>
              <w:rPr/>
              <w:t>1.Рост доли объектов воинских захоронений, расположенных на территории сельских поселений района, на которых проведены работы по ремонту с 10% в 2016 году до 60% в 2021 году с нарастающим итогом.</w:t>
            </w:r>
          </w:p>
          <w:p>
            <w:pPr>
              <w:pStyle w:val="Normal"/>
              <w:tabs>
                <w:tab w:val="clear" w:pos="720"/>
                <w:tab w:val="left" w:pos="281" w:leader="none"/>
              </w:tabs>
              <w:jc w:val="both"/>
              <w:rPr/>
            </w:pPr>
            <w:r>
              <w:rPr/>
              <w:t>2. Рост доли населения, удовлетворённых качеством услуг муниципальных учреждений, предоставляемых в сфере культуры с 86% в 2016 году до 95% в 2021 году.</w:t>
            </w:r>
          </w:p>
          <w:p>
            <w:pPr>
              <w:pStyle w:val="Normal"/>
              <w:jc w:val="both"/>
              <w:rPr/>
            </w:pPr>
            <w:r>
              <w:rPr/>
              <w:t>3.Рост доли молодёжи, вовлечённой в мероприятия программы с 50% в 2016 году до 60% в 2021 году.</w:t>
            </w:r>
          </w:p>
          <w:p>
            <w:pPr>
              <w:pStyle w:val="Normal"/>
              <w:jc w:val="both"/>
              <w:rPr/>
            </w:pPr>
            <w:r>
              <w:rPr/>
              <w:t>4. Рост количества несовершеннолетних граждан в возрасте от 14 до 18 лет, временно трудоустроенных в 2021 году на 47% по отношению к 2016 году.</w:t>
            </w:r>
          </w:p>
        </w:tc>
      </w:tr>
      <w:tr>
        <w:trPr>
          <w:trHeight w:val="1" w:hRule="atLeast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>Целевые индикаторы и показатели  Программы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423" w:leader="none"/>
              </w:tabs>
              <w:jc w:val="both"/>
              <w:rPr/>
            </w:pPr>
            <w:r>
              <w:rPr/>
              <w:t>Целевые показатели (индикаторы) определены в подпрограммах Программы.</w:t>
            </w:r>
          </w:p>
        </w:tc>
      </w:tr>
      <w:tr>
        <w:trPr>
          <w:trHeight w:val="1" w:hRule="atLeast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jc w:val="both"/>
              <w:rPr/>
            </w:pPr>
            <w:r>
              <w:rPr/>
              <w:t>Этапы и сроки реализации Программы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/>
              <w:t>Срок реализации программы 2017 -2021 г.г.</w:t>
            </w:r>
          </w:p>
          <w:p>
            <w:pPr>
              <w:pStyle w:val="Normal"/>
              <w:jc w:val="center"/>
              <w:rPr/>
            </w:pPr>
            <w:r>
              <w:rPr/>
              <w:t>Без выделения этапов</w:t>
            </w:r>
          </w:p>
        </w:tc>
      </w:tr>
      <w:tr>
        <w:trPr>
          <w:trHeight w:val="675" w:hRule="atLeast"/>
        </w:trPr>
        <w:tc>
          <w:tcPr>
            <w:tcW w:w="312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>Финансовое обеспечение Программы с указанием источников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902" w:leader="none"/>
              </w:tabs>
              <w:ind w:left="0" w:right="19" w:hanging="0"/>
              <w:jc w:val="both"/>
              <w:rPr/>
            </w:pPr>
            <w:r>
              <w:rPr/>
              <w:t>Общий объем финансирования Программы 22 671</w:t>
            </w:r>
            <w:r>
              <w:rPr>
                <w:u w:val="none"/>
              </w:rPr>
              <w:t>,534</w:t>
            </w:r>
            <w:r>
              <w:rPr>
                <w:color w:val="FF0000"/>
              </w:rPr>
              <w:t xml:space="preserve"> </w:t>
            </w:r>
            <w:r>
              <w:rPr/>
              <w:t xml:space="preserve">тыс. руб. за счет средств бюджета Лахденпохского муниципального района, в том числе: </w:t>
            </w:r>
          </w:p>
          <w:p>
            <w:pPr>
              <w:pStyle w:val="Normal"/>
              <w:rPr/>
            </w:pPr>
            <w:r>
              <w:rPr/>
              <w:t>2017 г. – 0 тыс. руб.;</w:t>
            </w:r>
          </w:p>
          <w:p>
            <w:pPr>
              <w:pStyle w:val="Normal"/>
              <w:rPr/>
            </w:pPr>
            <w:r>
              <w:rPr/>
              <w:t>2018 г. – 6 959,27 тыс. руб.;</w:t>
            </w:r>
          </w:p>
          <w:p>
            <w:pPr>
              <w:pStyle w:val="Normal"/>
              <w:rPr/>
            </w:pPr>
            <w:r>
              <w:rPr/>
              <w:t>2019 г. – 6 372,443 тыс. руб.;</w:t>
            </w:r>
          </w:p>
          <w:p>
            <w:pPr>
              <w:pStyle w:val="Normal"/>
              <w:rPr/>
            </w:pPr>
            <w:r>
              <w:rPr/>
              <w:t>2020 г. – 4 685,326 тыс. руб.;</w:t>
            </w:r>
          </w:p>
          <w:p>
            <w:pPr>
              <w:pStyle w:val="Normal"/>
              <w:ind w:left="-2" w:right="0" w:hanging="0"/>
              <w:jc w:val="both"/>
              <w:rPr/>
            </w:pPr>
            <w:r>
              <w:rPr/>
              <w:t>2021 г. – 4 654,495 тыс. руб.</w:t>
            </w:r>
          </w:p>
        </w:tc>
      </w:tr>
    </w:tbl>
    <w:p>
      <w:pPr>
        <w:pStyle w:val="Normal"/>
        <w:ind w:left="720" w:right="0" w:hanging="0"/>
        <w:rPr>
          <w:b/>
          <w:b/>
        </w:rPr>
      </w:pPr>
      <w:r>
        <w:rPr>
          <w:b/>
        </w:rPr>
      </w:r>
    </w:p>
    <w:p>
      <w:pPr>
        <w:pStyle w:val="Normal"/>
        <w:widowControl/>
        <w:tabs>
          <w:tab w:val="clear" w:pos="720"/>
          <w:tab w:val="left" w:pos="735" w:leader="none"/>
          <w:tab w:val="left" w:pos="1080" w:leader="none"/>
        </w:tabs>
        <w:overflowPunct w:val="true"/>
        <w:bidi w:val="0"/>
        <w:ind w:left="0" w:right="0" w:hanging="0"/>
        <w:jc w:val="center"/>
        <w:rPr>
          <w:b/>
          <w:b/>
        </w:rPr>
      </w:pPr>
      <w:r>
        <w:rPr>
          <w:b/>
        </w:rPr>
        <w:t xml:space="preserve">Содержание проблемы и обоснования необходимости  решения </w:t>
      </w:r>
    </w:p>
    <w:p>
      <w:pPr>
        <w:pStyle w:val="Normal"/>
        <w:widowControl/>
        <w:tabs>
          <w:tab w:val="clear" w:pos="720"/>
          <w:tab w:val="left" w:pos="735" w:leader="none"/>
          <w:tab w:val="left" w:pos="1080" w:leader="none"/>
        </w:tabs>
        <w:overflowPunct w:val="true"/>
        <w:bidi w:val="0"/>
        <w:ind w:left="0" w:right="0" w:hanging="0"/>
        <w:jc w:val="center"/>
        <w:rPr>
          <w:b/>
          <w:b/>
        </w:rPr>
      </w:pPr>
      <w:r>
        <w:rPr>
          <w:b/>
        </w:rPr>
        <w:t>Программы «Развитие сферы культуры и организация работы с молодёжью в Лахденпохском муниципальном районе»  на 2017 – 2021 г.г.</w:t>
      </w:r>
    </w:p>
    <w:p>
      <w:pPr>
        <w:pStyle w:val="Normal"/>
        <w:ind w:left="0" w:right="0" w:firstLine="539"/>
        <w:jc w:val="both"/>
        <w:rPr/>
      </w:pPr>
      <w:r>
        <w:rPr/>
        <w:t>В современных условиях культура, работа с молодёжью способны активно взаимодействовать и влиять на сферы общественной жизни. Они являются действенным средством профилактики и преодоления негативных социальных явлений в детской и молодежной среде, формирования патриотических, гражданских качеств личности, толерантности, воспитания духовности и нравственности, стабилизации и гармонизации семейных и общественных отношений. Потребность населения с каждым годом в культурных услугах возрастает. Возрастающая роль сферы культуры и искусства для развития современного общества связана с быстро растущими духовными и эстетическими потребностями человека.</w:t>
      </w:r>
    </w:p>
    <w:p>
      <w:pPr>
        <w:pStyle w:val="Normal"/>
        <w:ind w:left="0" w:right="0" w:firstLine="539"/>
        <w:jc w:val="both"/>
        <w:rPr/>
      </w:pPr>
      <w:r>
        <w:rPr/>
        <w:t xml:space="preserve">Реализация конституционных прав граждан в сфере культуры на протяжении нескольких лет сталкивалась с такими системными проблемами, как: </w:t>
      </w:r>
    </w:p>
    <w:p>
      <w:pPr>
        <w:pStyle w:val="Normal"/>
        <w:ind w:left="0" w:right="0" w:firstLine="539"/>
        <w:jc w:val="both"/>
        <w:rPr/>
      </w:pPr>
      <w:r>
        <w:rPr/>
        <w:t xml:space="preserve">- утрата частью населения, особенно молодежью, основ традиционной культуры; </w:t>
      </w:r>
    </w:p>
    <w:p>
      <w:pPr>
        <w:pStyle w:val="Normal"/>
        <w:tabs>
          <w:tab w:val="clear" w:pos="720"/>
          <w:tab w:val="left" w:pos="709" w:leader="none"/>
        </w:tabs>
        <w:jc w:val="both"/>
        <w:rPr/>
      </w:pPr>
      <w:r>
        <w:rPr/>
        <w:t xml:space="preserve">      </w:t>
      </w:r>
      <w:r>
        <w:rPr/>
        <w:t>- недостаточный объем средств, выделяемых на улучшение материально- технической базы учреждений культуры, подготовку и проведение общественно- политических, социально- экономических, культурно-досуговых и прочих мероприятий, негативно сказывалось на качестве проведения мероприятий и оказании услуг населению учреждениями культуры.</w:t>
      </w:r>
    </w:p>
    <w:p>
      <w:pPr>
        <w:pStyle w:val="Normal"/>
        <w:tabs>
          <w:tab w:val="clear" w:pos="720"/>
          <w:tab w:val="left" w:pos="709" w:leader="none"/>
        </w:tabs>
        <w:jc w:val="both"/>
        <w:rPr/>
      </w:pPr>
      <w:r>
        <w:rPr/>
        <w:tab/>
        <w:t>На территории сельских поселений Лахденпохского муниципального района находится 10 мест захоронения (памятников истории и культуры) советских воинов, погибших при защите Отечества. Одной из важных задач муниципальной программы является сохранение, популяризация и охрана культурно-исторического наследия.</w:t>
      </w:r>
      <w:r>
        <w:rPr>
          <w:sz w:val="22"/>
        </w:rPr>
        <w:tab/>
      </w:r>
    </w:p>
    <w:p>
      <w:pPr>
        <w:pStyle w:val="Normal"/>
        <w:tabs>
          <w:tab w:val="clear" w:pos="720"/>
          <w:tab w:val="left" w:pos="709" w:leader="none"/>
        </w:tabs>
        <w:jc w:val="both"/>
        <w:rPr/>
      </w:pPr>
      <w:r>
        <w:rPr>
          <w:rFonts w:eastAsia="Calibri" w:cs="Calibri" w:ascii="Calibri" w:hAnsi="Calibri"/>
          <w:sz w:val="22"/>
        </w:rPr>
        <w:tab/>
      </w:r>
      <w:r>
        <w:rPr/>
        <w:t>Одним из важнейших направлений муниципальной программы по работе с молодёжью является формирование условий для гражданского становления, военно-патриотического и духовно-нравственного воспитания подрастающего поколения. Так же мероприятия программы направлены на формирование условий для личностного и профессионального самоопределения и полноценной самореализации молодых людей</w:t>
      </w:r>
      <w:r>
        <w:rPr>
          <w:rFonts w:eastAsia="Calibri" w:cs="Calibri" w:ascii="Calibri" w:hAnsi="Calibri"/>
          <w:sz w:val="22"/>
        </w:rPr>
        <w:t xml:space="preserve">. </w:t>
      </w:r>
    </w:p>
    <w:p>
      <w:pPr>
        <w:pStyle w:val="Normal"/>
        <w:ind w:left="0" w:right="0" w:firstLine="539"/>
        <w:jc w:val="both"/>
        <w:rPr/>
      </w:pPr>
      <w:r>
        <w:rPr/>
        <w:t>Молодежь является стратегическим ресурсом развития любого общества. Успешное социально-экономическое развитие района во многом будет определяться тем, насколько молодежь обладает необходимыми физическими, интеллектуальными и нравственными качествами, имеет необходимые возможности для участия в общественно-политической, экономической и культурной жизни города и района.</w:t>
      </w:r>
    </w:p>
    <w:p>
      <w:pPr>
        <w:pStyle w:val="Normal"/>
        <w:ind w:left="0" w:right="0" w:firstLine="539"/>
        <w:jc w:val="both"/>
        <w:rPr/>
      </w:pPr>
      <w:r>
        <w:rPr/>
        <w:t>Реализация Программы к 2021 году позволит создать условия, обеспечивающие равный и свободный доступ населения ко всему спектру культурных благ, укрепить позитивный образ района, действенных механизмов повышения социально-экономической и духовно-культурной активности молодежи.</w:t>
      </w:r>
    </w:p>
    <w:p>
      <w:pPr>
        <w:pStyle w:val="Normal"/>
        <w:ind w:left="0" w:right="0" w:firstLine="539"/>
        <w:jc w:val="both"/>
        <w:rPr/>
      </w:pPr>
      <w:r>
        <w:rPr/>
        <w:t>Программно-целевой метод позволит направить финансовые ресурсы на поддержку и развитие культуры района, обеспечит большую эффективность использования бюджетных ресурсов и достижение планируемых результатов.</w:t>
      </w:r>
    </w:p>
    <w:p>
      <w:pPr>
        <w:pStyle w:val="Normal"/>
        <w:ind w:left="0" w:right="0" w:firstLine="708"/>
        <w:jc w:val="both"/>
        <w:rPr/>
      </w:pPr>
      <w:r>
        <w:rPr/>
        <w:t>При реализации Программы в полном объёме будут достигнуты следующие результаты:</w:t>
      </w:r>
    </w:p>
    <w:p>
      <w:pPr>
        <w:pStyle w:val="Normal"/>
        <w:ind w:left="0" w:right="0" w:firstLine="708"/>
        <w:jc w:val="both"/>
        <w:rPr/>
      </w:pPr>
      <w:r>
        <w:rPr/>
        <w:t>- рост доли объектов воинских захоронений, расположенных на территории сельских поселений района, на которых проведены работы по ремонту с 10% в 2016 году до 60% в 2021 году с нарастающим итогом;</w:t>
      </w:r>
    </w:p>
    <w:p>
      <w:pPr>
        <w:pStyle w:val="Normal"/>
        <w:ind w:left="0" w:right="0" w:firstLine="708"/>
        <w:jc w:val="both"/>
        <w:rPr/>
      </w:pPr>
      <w:r>
        <w:rPr/>
        <w:t>- укрепление материально-технической базы муниципальных учреждений культуры в соответствии с мероприятиями Программы;</w:t>
      </w:r>
    </w:p>
    <w:p>
      <w:pPr>
        <w:pStyle w:val="Normal"/>
        <w:ind w:left="0" w:right="0" w:firstLine="708"/>
        <w:jc w:val="both"/>
        <w:rPr/>
      </w:pPr>
      <w:r>
        <w:rPr/>
        <w:t>- рост уровня удовлетворённости жителей Лахденпохского муниципального района качеством предоставления услуг в области культуры к 2021 году до 95% по сравнению с 86 % отчётного 2016 года;</w:t>
      </w:r>
    </w:p>
    <w:p>
      <w:pPr>
        <w:pStyle w:val="Normal"/>
        <w:ind w:left="0" w:right="0" w:firstLine="708"/>
        <w:jc w:val="both"/>
        <w:rPr/>
      </w:pPr>
      <w:r>
        <w:rPr/>
        <w:t>- рост доли молодежи Лахденпохского муниципального района в возрасте от 14 до 30 лет, вовлечённой в мероприятия Программы, в общей численности молодежи Лахденпохского муниципального района с  50 % в 2016 году до 60% в 2021 году.</w:t>
      </w:r>
    </w:p>
    <w:p>
      <w:pPr>
        <w:pStyle w:val="Normal"/>
        <w:tabs>
          <w:tab w:val="clear" w:pos="720"/>
          <w:tab w:val="left" w:pos="709" w:leader="none"/>
        </w:tabs>
        <w:ind w:left="0" w:right="0" w:firstLine="567"/>
        <w:jc w:val="both"/>
        <w:rPr/>
      </w:pPr>
      <w:r>
        <w:rPr/>
        <w:t>- рост количества несовершеннолетних граждан в возрасте от 14 до 18 лет, временно трудоустроенных в 2021 году на 47% по отношению к 2016 году.</w:t>
      </w:r>
    </w:p>
    <w:p>
      <w:pPr>
        <w:pStyle w:val="Normal"/>
        <w:ind w:left="0" w:right="0" w:firstLine="708"/>
        <w:jc w:val="both"/>
        <w:rPr/>
      </w:pPr>
      <w:r>
        <w:rPr/>
      </w:r>
    </w:p>
    <w:p>
      <w:pPr>
        <w:pStyle w:val="Normal"/>
        <w:widowControl/>
        <w:overflowPunct w:val="true"/>
        <w:bidi w:val="0"/>
        <w:ind w:left="0" w:right="0" w:hanging="0"/>
        <w:jc w:val="center"/>
        <w:rPr>
          <w:b/>
          <w:b/>
        </w:rPr>
      </w:pPr>
      <w:r>
        <w:rPr>
          <w:b/>
        </w:rPr>
        <w:t>Основные цели и задачи Программы.</w:t>
      </w:r>
    </w:p>
    <w:p>
      <w:pPr>
        <w:pStyle w:val="Normal"/>
        <w:jc w:val="both"/>
        <w:rPr/>
      </w:pPr>
      <w:r>
        <w:rPr/>
        <w:tab/>
      </w:r>
      <w:r>
        <w:rPr>
          <w:b/>
          <w:bCs/>
        </w:rPr>
        <w:t>Цель 1.</w:t>
      </w:r>
      <w:r>
        <w:rPr/>
        <w:t xml:space="preserve"> Сохранение культурного и исторического наследия района, обеспечение доступа граждан к культурным ценностям и информации, создание условий для обеспечения услугами муниципальных учреждений культуры жителей Лахденпохского муниципального района.</w:t>
      </w:r>
    </w:p>
    <w:p>
      <w:pPr>
        <w:pStyle w:val="Normal"/>
        <w:ind w:left="0" w:right="0" w:firstLine="708"/>
        <w:jc w:val="both"/>
        <w:rPr/>
      </w:pPr>
      <w:r>
        <w:rPr>
          <w:b/>
          <w:bCs/>
        </w:rPr>
        <w:t>Цель 2.</w:t>
      </w:r>
      <w:r>
        <w:rPr/>
        <w:t xml:space="preserve"> Развитие потенциала и интеграция молодежи в социально - экономическую, культурную и общественную жизнь района.</w:t>
        <w:tab/>
      </w:r>
    </w:p>
    <w:p>
      <w:pPr>
        <w:pStyle w:val="Normal"/>
        <w:ind w:left="0" w:right="0" w:firstLine="708"/>
        <w:jc w:val="both"/>
        <w:rPr/>
      </w:pPr>
      <w:r>
        <w:rPr/>
        <w:t>Достижение данных целей предполагается посредством решения четырех взаимосвязанных и взаимодополняющих задач:</w:t>
      </w:r>
    </w:p>
    <w:p>
      <w:pPr>
        <w:pStyle w:val="Normal"/>
        <w:ind w:left="0" w:right="0" w:firstLine="708"/>
        <w:jc w:val="both"/>
        <w:rPr/>
      </w:pPr>
      <w:r>
        <w:rPr>
          <w:b/>
          <w:bCs/>
        </w:rPr>
        <w:t xml:space="preserve">Задача 1. </w:t>
      </w:r>
      <w:r>
        <w:rPr/>
        <w:t>Сохранение культурного и исторического наследия района, обеспечение доступа граждан к культурным ценностям и участию в культурной жизни, реализация творческого потенциала граждан  района.</w:t>
      </w:r>
    </w:p>
    <w:p>
      <w:pPr>
        <w:pStyle w:val="Normal"/>
        <w:ind w:left="0" w:right="0" w:firstLine="708"/>
        <w:jc w:val="both"/>
        <w:rPr/>
      </w:pPr>
      <w:r>
        <w:rPr>
          <w:b/>
          <w:bCs/>
        </w:rPr>
        <w:t>Задача 2.</w:t>
      </w:r>
      <w:r>
        <w:rPr/>
        <w:t xml:space="preserve"> Поддержка и развитие художественно-творческой деятельности.</w:t>
      </w:r>
    </w:p>
    <w:p>
      <w:pPr>
        <w:pStyle w:val="Normal"/>
        <w:ind w:left="0" w:right="0" w:firstLine="708"/>
        <w:jc w:val="both"/>
        <w:rPr/>
      </w:pPr>
      <w:r>
        <w:rPr>
          <w:b/>
          <w:bCs/>
        </w:rPr>
        <w:t>Задача 3.</w:t>
      </w:r>
      <w:r>
        <w:rPr/>
        <w:t xml:space="preserve"> Создание условий для развития социальной активности  молодёжи.</w:t>
      </w:r>
    </w:p>
    <w:p>
      <w:pPr>
        <w:pStyle w:val="Normal"/>
        <w:tabs>
          <w:tab w:val="clear" w:pos="720"/>
          <w:tab w:val="left" w:pos="1560" w:leader="none"/>
        </w:tabs>
        <w:ind w:left="0" w:right="0" w:firstLine="708"/>
        <w:jc w:val="both"/>
        <w:rPr/>
      </w:pPr>
      <w:r>
        <w:rPr>
          <w:b/>
          <w:bCs/>
        </w:rPr>
        <w:t xml:space="preserve">Задача 4. </w:t>
      </w:r>
      <w:r>
        <w:rPr/>
        <w:t>Организация временной занятости и трудоустройства несовершеннолетних граждан в возрасте от 14 до 18 лет.</w:t>
      </w:r>
    </w:p>
    <w:p>
      <w:pPr>
        <w:pStyle w:val="Normal"/>
        <w:ind w:left="0" w:right="0" w:firstLine="360"/>
        <w:jc w:val="both"/>
        <w:rPr/>
      </w:pPr>
      <w:r>
        <w:rPr/>
        <w:t xml:space="preserve"> </w:t>
      </w:r>
      <w:r>
        <w:rPr/>
        <w:t>Решение этих задач будет обеспечено посредством осуществления подпрограмм «Развитие муниципальных учреждений в сфере культуры», «Комплексные мероприятия в области работы с молодёжью», «Содействие занятости несовершеннолетних граждан».</w:t>
      </w:r>
    </w:p>
    <w:p>
      <w:pPr>
        <w:pStyle w:val="Normal"/>
        <w:jc w:val="both"/>
        <w:rPr/>
      </w:pPr>
      <w:r>
        <w:rPr/>
      </w:r>
    </w:p>
    <w:p>
      <w:pPr>
        <w:pStyle w:val="Normal"/>
        <w:widowControl/>
        <w:overflowPunct w:val="true"/>
        <w:bidi w:val="0"/>
        <w:ind w:left="0" w:right="0" w:hanging="0"/>
        <w:jc w:val="center"/>
        <w:rPr>
          <w:b/>
          <w:b/>
        </w:rPr>
      </w:pPr>
      <w:r>
        <w:rPr>
          <w:b/>
        </w:rPr>
        <w:t>Прогноз конечных результатов Программы</w:t>
      </w:r>
    </w:p>
    <w:p>
      <w:pPr>
        <w:pStyle w:val="Normal"/>
        <w:spacing w:before="0" w:after="120"/>
        <w:ind w:left="0" w:right="0" w:firstLine="360"/>
        <w:rPr/>
      </w:pPr>
      <w:r>
        <w:rPr/>
        <w:t>Конечными результатами Программы, характеризующими эффективность реализации программных мероприятий, являются:</w:t>
      </w:r>
    </w:p>
    <w:p>
      <w:pPr>
        <w:pStyle w:val="Normal"/>
        <w:tabs>
          <w:tab w:val="clear" w:pos="720"/>
          <w:tab w:val="left" w:pos="281" w:leader="none"/>
        </w:tabs>
        <w:jc w:val="both"/>
        <w:rPr/>
      </w:pPr>
      <w:r>
        <w:rPr/>
        <w:t>1. Рост доли объектов воинских захоронений, расположенных на территории сельских поселений района, на которых проведены работы по ремонту с 10% в 2016 году до 60% в 2021 году с нарастающим итогом. Расчёт показателя: количество объектов воинских захоронений,  на которых проведены работы по ремонту / общее количество * 100%. Показатель определяется каждый год в соответствии с отчётом рабочей группы по организации обследования воинских захоронений, расположенных на территории сельских поселений района.</w:t>
      </w:r>
    </w:p>
    <w:p>
      <w:pPr>
        <w:pStyle w:val="Normal"/>
        <w:tabs>
          <w:tab w:val="clear" w:pos="720"/>
          <w:tab w:val="left" w:pos="281" w:leader="none"/>
        </w:tabs>
        <w:jc w:val="both"/>
        <w:rPr/>
      </w:pPr>
      <w:r>
        <w:rPr/>
        <w:t>2. Рост доли населения удовлетворённых качеством услуг муниципальных учреждений, предоставляемых в сфере культуры с 86% в 2016 году до 95% в 2021 году. Расчёт показателя: количество опрошенных граждан удовлетворённых качеством услуг / на общее количество опрошенных граждан * 100%. Показатель определяется каждый год на основании проведённого мониторинга руководителями учреждений.</w:t>
      </w:r>
    </w:p>
    <w:p>
      <w:pPr>
        <w:pStyle w:val="Normal"/>
        <w:jc w:val="both"/>
        <w:rPr/>
      </w:pPr>
      <w:r>
        <w:rPr/>
        <w:t>3. Рост доли молодёжи, вовлечённых в мероприятия Программы с 50% в 2016 году до 60% в 2021 году. Расчёт показателя: количество молодёжи от 14 до 30 лет, вовлечённых в мероприятия Программы / общее количество молодёжи ЛМР от 14 до 30 лет * 100%. Показатель определяется каждый год по итогам отчётов исполнителей мероприятий.</w:t>
      </w:r>
    </w:p>
    <w:p>
      <w:pPr>
        <w:pStyle w:val="Normal"/>
        <w:suppressAutoHyphens w:val="true"/>
        <w:jc w:val="both"/>
        <w:rPr/>
      </w:pPr>
      <w:r>
        <w:rPr/>
        <w:t>4. Рост количества несовершеннолетних граждан в возрасте от 14 до 18 лет, временно трудоустроенных в 2021 году на 47% по отношению к 2016 году. Расчёт показателя: количество трудоустроенных за отчётный год / 17 * 100%.</w:t>
      </w:r>
    </w:p>
    <w:p>
      <w:pPr>
        <w:pStyle w:val="Normal"/>
        <w:suppressAutoHyphens w:val="true"/>
        <w:jc w:val="both"/>
        <w:rPr/>
      </w:pPr>
      <w:r>
        <w:rPr/>
      </w:r>
    </w:p>
    <w:p>
      <w:pPr>
        <w:pStyle w:val="Normal"/>
        <w:widowControl/>
        <w:overflowPunct w:val="true"/>
        <w:bidi w:val="0"/>
        <w:ind w:left="0" w:right="0" w:hanging="0"/>
        <w:jc w:val="center"/>
        <w:rPr>
          <w:b/>
          <w:b/>
        </w:rPr>
      </w:pPr>
      <w:r>
        <w:rPr>
          <w:b/>
        </w:rPr>
        <w:t>Анализ рисков реализации Программы и описание мер</w:t>
      </w:r>
    </w:p>
    <w:p>
      <w:pPr>
        <w:pStyle w:val="Normal"/>
        <w:jc w:val="center"/>
        <w:rPr>
          <w:b/>
          <w:b/>
        </w:rPr>
      </w:pPr>
      <w:r>
        <w:rPr>
          <w:b/>
        </w:rPr>
        <w:t>управления рисками реализации Программы</w:t>
      </w:r>
    </w:p>
    <w:p>
      <w:pPr>
        <w:pStyle w:val="Normal"/>
        <w:ind w:left="0" w:right="0" w:firstLine="540"/>
        <w:jc w:val="both"/>
        <w:rPr/>
      </w:pPr>
      <w:r>
        <w:rPr/>
        <w:t>Важное значение для успешной реализации Программы имеет прогнозирование возможных рисков, связанных с достижением основной цели, решением задач Программы, оценка их масштабов и последствий, а также формирование системы мер по их предотвращению.</w:t>
      </w:r>
    </w:p>
    <w:p>
      <w:pPr>
        <w:pStyle w:val="Normal"/>
        <w:ind w:left="0" w:right="0" w:firstLine="540"/>
        <w:jc w:val="both"/>
        <w:rPr/>
      </w:pPr>
      <w:r>
        <w:rPr/>
        <w:t>В рамках реализации Программы могут быть выделены следующие риски ее реализации.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Финансовые риски</w:t>
      </w:r>
    </w:p>
    <w:p>
      <w:pPr>
        <w:pStyle w:val="Normal"/>
        <w:ind w:left="0" w:right="0" w:firstLine="540"/>
        <w:jc w:val="both"/>
        <w:rPr/>
      </w:pPr>
      <w:r>
        <w:rPr/>
        <w:t>Финансовые риски связаны с возникновением бюджетного дефицита и недостаточным, вследствие этого, уровнем бюджетного финансирования, что может повлечь недофинансирование, сокращение или прекращение программных мероприятий.</w:t>
      </w:r>
    </w:p>
    <w:p>
      <w:pPr>
        <w:pStyle w:val="Normal"/>
        <w:ind w:left="0" w:right="0" w:firstLine="540"/>
        <w:jc w:val="both"/>
        <w:rPr/>
      </w:pPr>
      <w:r>
        <w:rPr/>
        <w:t>Способами ограничения финансовых рисков выступают следующие меры:</w:t>
      </w:r>
    </w:p>
    <w:p>
      <w:pPr>
        <w:pStyle w:val="Normal"/>
        <w:ind w:left="0" w:right="0" w:firstLine="540"/>
        <w:jc w:val="both"/>
        <w:rPr/>
      </w:pPr>
      <w:r>
        <w:rPr/>
        <w:t>- ежегодное уточнение объемов финансовых средств, предусмотренных на реализацию мероприятий муниципальной программы, в зависимости от достигнутых результатов;</w:t>
      </w:r>
    </w:p>
    <w:p>
      <w:pPr>
        <w:pStyle w:val="Normal"/>
        <w:ind w:left="0" w:right="0" w:firstLine="540"/>
        <w:jc w:val="both"/>
        <w:rPr/>
      </w:pPr>
      <w:r>
        <w:rPr/>
        <w:t>- определение приоритетов для первоочередного финансирования;</w:t>
      </w:r>
    </w:p>
    <w:p>
      <w:pPr>
        <w:pStyle w:val="Normal"/>
        <w:ind w:left="0" w:right="0" w:firstLine="540"/>
        <w:jc w:val="both"/>
        <w:rPr/>
      </w:pPr>
      <w:r>
        <w:rPr/>
        <w:t>- планирование бюджетных расходов с применением методик оценки эффективности бюджетных расходов.</w:t>
      </w:r>
    </w:p>
    <w:p>
      <w:pPr>
        <w:pStyle w:val="Normal"/>
        <w:ind w:left="0" w:right="0" w:firstLine="540"/>
        <w:jc w:val="both"/>
        <w:rPr/>
      </w:pPr>
      <w:r>
        <w:rPr/>
        <w:t>Программа предусматривает персональную ответственность исполнителей и соисполнителей за реализацию закрепленных за ними мероприятий. Для единого подхода к выполнению всего комплекса мероприятий программы, целенаправленного и эффективного расходования финансовых средств, выделенных на ее реализацию, необходимо четкое взаимодействие между исполнителями, соисполнителями программы.</w:t>
      </w:r>
    </w:p>
    <w:p>
      <w:pPr>
        <w:pStyle w:val="Normal"/>
        <w:ind w:left="0" w:right="0" w:firstLine="540"/>
        <w:jc w:val="both"/>
        <w:rPr/>
      </w:pPr>
      <w:r>
        <w:rPr/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Административные риски</w:t>
      </w:r>
    </w:p>
    <w:p>
      <w:pPr>
        <w:pStyle w:val="Normal"/>
        <w:ind w:left="0" w:right="0" w:firstLine="540"/>
        <w:jc w:val="both"/>
        <w:rPr/>
      </w:pPr>
      <w:r>
        <w:rPr/>
        <w:t>Риски данной группы связаны с неэффективным управлением Программой, низкой эффективностью взаимодействия заинтересованных сторон, что может повлечь за собой нарушение планируемых сроков реализации Программы, невыполнение ее целей и задач, не достижение плановых значений показателей, снижение эффективности использования ресурсов и качества выполнения мероприятий Программы.</w:t>
      </w:r>
    </w:p>
    <w:p>
      <w:pPr>
        <w:pStyle w:val="Normal"/>
        <w:ind w:left="0" w:right="0" w:firstLine="540"/>
        <w:jc w:val="both"/>
        <w:rPr/>
      </w:pPr>
      <w:r>
        <w:rPr/>
        <w:t>Основными условиями минимизации административных рисков являются:</w:t>
      </w:r>
    </w:p>
    <w:p>
      <w:pPr>
        <w:pStyle w:val="Normal"/>
        <w:ind w:left="0" w:right="0" w:firstLine="540"/>
        <w:jc w:val="both"/>
        <w:rPr/>
      </w:pPr>
      <w:r>
        <w:rPr/>
        <w:t>- формирование эффективной системы управления реализацией Программы;</w:t>
      </w:r>
    </w:p>
    <w:p>
      <w:pPr>
        <w:pStyle w:val="Normal"/>
        <w:ind w:left="0" w:right="0" w:firstLine="540"/>
        <w:jc w:val="both"/>
        <w:rPr/>
      </w:pPr>
      <w:r>
        <w:rPr/>
        <w:t>- проведение систематического мониторинга результативности реализации Программы;</w:t>
      </w:r>
    </w:p>
    <w:p>
      <w:pPr>
        <w:pStyle w:val="Normal"/>
        <w:ind w:left="0" w:right="0" w:firstLine="540"/>
        <w:jc w:val="both"/>
        <w:rPr/>
      </w:pPr>
      <w:r>
        <w:rPr/>
        <w:t>- регулярная публикация отчетов о ходе реализации Программы;</w:t>
      </w:r>
    </w:p>
    <w:p>
      <w:pPr>
        <w:pStyle w:val="Normal"/>
        <w:ind w:left="0" w:right="0" w:firstLine="540"/>
        <w:jc w:val="both"/>
        <w:rPr/>
      </w:pPr>
      <w:r>
        <w:rPr/>
        <w:t>- повышение эффективности взаимодействия участников реализации Программы;</w:t>
      </w:r>
    </w:p>
    <w:p>
      <w:pPr>
        <w:pStyle w:val="Normal"/>
        <w:ind w:left="0" w:right="0" w:firstLine="540"/>
        <w:jc w:val="both"/>
        <w:rPr/>
      </w:pPr>
      <w:r>
        <w:rPr/>
        <w:t>- своевременная корректировка мероприятий Программы.</w:t>
      </w:r>
    </w:p>
    <w:p>
      <w:pPr>
        <w:pStyle w:val="Normal"/>
        <w:tabs>
          <w:tab w:val="clear" w:pos="720"/>
          <w:tab w:val="left" w:pos="902" w:leader="none"/>
        </w:tabs>
        <w:spacing w:before="278" w:after="200"/>
        <w:ind w:left="5" w:right="19" w:firstLine="538"/>
        <w:jc w:val="both"/>
        <w:rPr/>
      </w:pPr>
      <w:r>
        <w:rPr>
          <w:highlight w:val="white"/>
        </w:rPr>
        <w:t>В случае оказания влияния одного или нескольких факторов на достижение запланированных показателей Программы ответственный исполнитель вносит предложения о внесении изменений в перечни и состав мероприятий, сроки их реализации, значения планируемых к достижению показателей Программы, а также в объемы бюджетных ассигнований на реализацию мероприятий в пределах утвержденных лимитов бюджетных ассигнований, предусмотренных планом реализации Программы на соответствующий год.</w:t>
      </w:r>
    </w:p>
    <w:p>
      <w:pPr>
        <w:pStyle w:val="Normal"/>
        <w:widowControl/>
        <w:overflowPunct w:val="true"/>
        <w:bidi w:val="0"/>
        <w:ind w:left="0" w:right="0" w:hanging="0"/>
        <w:jc w:val="center"/>
        <w:rPr>
          <w:b/>
          <w:b/>
        </w:rPr>
      </w:pPr>
      <w:r>
        <w:rPr>
          <w:b/>
        </w:rPr>
        <w:t>Объем финансовых ресурсов, необходимых для реализации Программы</w:t>
      </w:r>
    </w:p>
    <w:p>
      <w:pPr>
        <w:pStyle w:val="Normal"/>
        <w:tabs>
          <w:tab w:val="clear" w:pos="720"/>
          <w:tab w:val="left" w:pos="902" w:leader="none"/>
        </w:tabs>
        <w:ind w:left="0" w:right="19" w:hanging="0"/>
        <w:jc w:val="both"/>
        <w:rPr/>
      </w:pPr>
      <w:r>
        <w:rPr/>
        <w:t xml:space="preserve">Объем финансирования составит </w:t>
      </w:r>
      <w:r>
        <w:rPr>
          <w:u w:val="single" w:color="FFFFFF"/>
        </w:rPr>
        <w:t>22 671,534</w:t>
      </w:r>
      <w:r>
        <w:rPr/>
        <w:t xml:space="preserve"> тыс. руб. за счет средств бюджета Лахденпохского муниципального района, в том числе: </w:t>
      </w:r>
    </w:p>
    <w:p>
      <w:pPr>
        <w:pStyle w:val="Normal"/>
        <w:rPr/>
      </w:pPr>
      <w:r>
        <w:rPr/>
        <w:t>2017 г. – 0 тыс. руб.;</w:t>
      </w:r>
    </w:p>
    <w:p>
      <w:pPr>
        <w:pStyle w:val="Normal"/>
        <w:rPr/>
      </w:pPr>
      <w:r>
        <w:rPr/>
        <w:t>2018 г. – 6 959,27 тыс. руб.;</w:t>
      </w:r>
    </w:p>
    <w:p>
      <w:pPr>
        <w:pStyle w:val="Normal"/>
        <w:rPr/>
      </w:pPr>
      <w:r>
        <w:rPr/>
        <w:t>2019 г. – 6 372,443 тыс. руб.;</w:t>
      </w:r>
    </w:p>
    <w:p>
      <w:pPr>
        <w:pStyle w:val="Normal"/>
        <w:rPr/>
      </w:pPr>
      <w:r>
        <w:rPr/>
        <w:t>2020 г. – 4 685,326 тыс. руб.;</w:t>
      </w:r>
    </w:p>
    <w:p>
      <w:pPr>
        <w:pStyle w:val="Normal"/>
        <w:tabs>
          <w:tab w:val="clear" w:pos="720"/>
          <w:tab w:val="left" w:pos="902" w:leader="none"/>
        </w:tabs>
        <w:ind w:left="0" w:right="19" w:hanging="0"/>
        <w:jc w:val="both"/>
        <w:rPr/>
      </w:pPr>
      <w:r>
        <w:rPr/>
        <w:t>2021 г. – 4 654,495 тыс. руб.</w:t>
      </w:r>
    </w:p>
    <w:p>
      <w:pPr>
        <w:pStyle w:val="Normal"/>
        <w:tabs>
          <w:tab w:val="clear" w:pos="720"/>
          <w:tab w:val="left" w:pos="902" w:leader="none"/>
        </w:tabs>
        <w:ind w:left="0" w:right="19" w:hanging="0"/>
        <w:jc w:val="both"/>
        <w:rPr/>
      </w:pPr>
      <w:r>
        <w:rPr/>
      </w:r>
    </w:p>
    <w:p>
      <w:pPr>
        <w:pStyle w:val="Normal"/>
        <w:widowControl/>
        <w:overflowPunct w:val="true"/>
        <w:bidi w:val="0"/>
        <w:ind w:left="0" w:right="0" w:hanging="0"/>
        <w:jc w:val="center"/>
        <w:rPr>
          <w:b/>
          <w:b/>
        </w:rPr>
      </w:pPr>
      <w:r>
        <w:rPr>
          <w:b/>
        </w:rPr>
        <w:t>Обоснование потребностей в бюджетных ресурсах для достижений целей и результатов Программы</w:t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19" w:hanging="0"/>
        <w:jc w:val="both"/>
        <w:rPr/>
      </w:pPr>
      <w:r>
        <w:rPr>
          <w:b/>
          <w:highlight w:val="white"/>
        </w:rPr>
        <w:tab/>
      </w:r>
      <w:r>
        <w:rPr>
          <w:highlight w:val="white"/>
        </w:rPr>
        <w:t xml:space="preserve">Потребность в бюджетных ресурсах Лахденпохского муниципального района для реализации программы составляет </w:t>
      </w:r>
      <w:r>
        <w:rPr>
          <w:highlight w:val="white"/>
          <w:u w:val="single" w:color="FFFFFF"/>
        </w:rPr>
        <w:t>22 671,534</w:t>
      </w:r>
      <w:r>
        <w:rPr>
          <w:highlight w:val="white"/>
        </w:rPr>
        <w:t xml:space="preserve"> тыс.руб., из которых: на о</w:t>
      </w:r>
      <w:bookmarkStart w:id="0" w:name="__DdeLink__32066_18796733181"/>
      <w:r>
        <w:rPr>
          <w:highlight w:val="white"/>
        </w:rPr>
        <w:t>рганизацию библиотечного обслуживания населения ЛМР</w:t>
      </w:r>
      <w:bookmarkEnd w:id="0"/>
      <w:r>
        <w:rPr>
          <w:highlight w:val="white"/>
        </w:rPr>
        <w:t xml:space="preserve"> – </w:t>
      </w:r>
      <w:r>
        <w:rPr>
          <w:highlight w:val="white"/>
          <w:u w:val="single" w:color="FFFFFF"/>
        </w:rPr>
        <w:t>10 033,307</w:t>
      </w:r>
      <w:r>
        <w:rPr>
          <w:highlight w:val="white"/>
        </w:rPr>
        <w:t xml:space="preserve"> тыс.руб.; на осуществление издательской деятельности — 1 382,78 тыс.руб.; на развитие музейного дела – </w:t>
      </w:r>
      <w:r>
        <w:rPr>
          <w:highlight w:val="white"/>
          <w:u w:val="single" w:color="FFFFFF"/>
        </w:rPr>
        <w:t>7 514,405</w:t>
      </w:r>
      <w:r>
        <w:rPr>
          <w:highlight w:val="white"/>
        </w:rPr>
        <w:t xml:space="preserve"> тыс.руб.; на развитие архивного дела — 2 016,31 тыс.руб.; направленных на поддержку и развитие художественно-творческой деятельности — 59,22</w:t>
      </w:r>
      <w:r>
        <w:rPr>
          <w:highlight w:val="white"/>
          <w:u w:val="single" w:color="FFFFFF"/>
        </w:rPr>
        <w:t xml:space="preserve"> </w:t>
      </w:r>
      <w:r>
        <w:rPr>
          <w:highlight w:val="white"/>
        </w:rPr>
        <w:t xml:space="preserve">тыс.руб.; на мероприятия в области работы с молодежью - </w:t>
      </w:r>
      <w:bookmarkStart w:id="1" w:name="__DdeLink__12869_3906876556"/>
      <w:r>
        <w:rPr>
          <w:highlight w:val="white"/>
        </w:rPr>
        <w:t>678</w:t>
      </w:r>
      <w:r>
        <w:rPr>
          <w:highlight w:val="white"/>
          <w:u w:val="single" w:color="FFFFFF"/>
        </w:rPr>
        <w:t>,43</w:t>
      </w:r>
      <w:bookmarkEnd w:id="1"/>
      <w:r>
        <w:rPr>
          <w:highlight w:val="white"/>
        </w:rPr>
        <w:t xml:space="preserve"> тыс.руб.; на содействие занятости несовершеннолетних граждан -  </w:t>
      </w:r>
      <w:r>
        <w:rPr>
          <w:highlight w:val="white"/>
          <w:u w:val="single" w:color="FFFFFF"/>
        </w:rPr>
        <w:t>980</w:t>
      </w:r>
      <w:r>
        <w:rPr>
          <w:highlight w:val="white"/>
        </w:rPr>
        <w:t xml:space="preserve"> тыс. руб.; на ремонт объектов воинских захоронений -  </w:t>
      </w:r>
      <w:r>
        <w:rPr>
          <w:highlight w:val="white"/>
          <w:u w:val="single" w:color="FFFFFF"/>
        </w:rPr>
        <w:t>7,082</w:t>
      </w:r>
      <w:r>
        <w:rPr>
          <w:highlight w:val="white"/>
        </w:rPr>
        <w:t xml:space="preserve"> тыс. руб. </w:t>
      </w:r>
    </w:p>
    <w:tbl>
      <w:tblPr>
        <w:tblW w:w="957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352"/>
        <w:gridCol w:w="1266"/>
        <w:gridCol w:w="1272"/>
        <w:gridCol w:w="1273"/>
        <w:gridCol w:w="1273"/>
        <w:gridCol w:w="1134"/>
      </w:tblGrid>
      <w:tr>
        <w:trPr>
          <w:trHeight w:val="1" w:hRule="atLeast"/>
        </w:trPr>
        <w:tc>
          <w:tcPr>
            <w:tcW w:w="33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 xml:space="preserve">Наименование </w:t>
            </w:r>
          </w:p>
        </w:tc>
        <w:tc>
          <w:tcPr>
            <w:tcW w:w="62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Расходы (тыс.руб.)</w:t>
            </w:r>
          </w:p>
        </w:tc>
      </w:tr>
      <w:tr>
        <w:trPr>
          <w:trHeight w:val="1" w:hRule="atLeast"/>
        </w:trPr>
        <w:tc>
          <w:tcPr>
            <w:tcW w:w="33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2017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2018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2019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2021</w:t>
            </w:r>
          </w:p>
        </w:tc>
      </w:tr>
      <w:tr>
        <w:trPr>
          <w:trHeight w:val="1" w:hRule="atLeast"/>
        </w:trPr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0"/>
              <w:ind w:left="0" w:right="19" w:hanging="0"/>
              <w:jc w:val="both"/>
              <w:rPr/>
            </w:pPr>
            <w:r>
              <w:rPr>
                <w:highlight w:val="white"/>
              </w:rPr>
              <w:t>О</w:t>
            </w:r>
            <w:bookmarkStart w:id="2" w:name="__DdeLink__32066_18796733182"/>
            <w:r>
              <w:rPr>
                <w:highlight w:val="white"/>
              </w:rPr>
              <w:t>рганизация библиотечного обслуживания населения ЛМР</w:t>
            </w:r>
            <w:bookmarkEnd w:id="2"/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3509,307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2587,4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1965,96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1970,64</w:t>
            </w:r>
          </w:p>
        </w:tc>
      </w:tr>
      <w:tr>
        <w:trPr>
          <w:trHeight w:val="509" w:hRule="atLeast"/>
        </w:trPr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0"/>
              <w:ind w:left="0" w:right="19" w:hanging="0"/>
              <w:jc w:val="both"/>
              <w:rPr>
                <w:highlight w:val="white"/>
              </w:rPr>
            </w:pPr>
            <w:r>
              <w:rPr>
                <w:highlight w:val="white"/>
              </w:rPr>
              <w:t>Осуществление издательской деятельности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333,1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499,68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300,00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250,00</w:t>
            </w:r>
          </w:p>
        </w:tc>
      </w:tr>
      <w:tr>
        <w:trPr>
          <w:trHeight w:val="1" w:hRule="atLeast"/>
        </w:trPr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both"/>
              <w:rPr/>
            </w:pPr>
            <w:r>
              <w:rPr/>
              <w:t>Развитие музейного дела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2867,075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1948,0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1363,0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1336,33</w:t>
            </w:r>
          </w:p>
        </w:tc>
      </w:tr>
      <w:tr>
        <w:trPr>
          <w:trHeight w:val="1" w:hRule="atLeast"/>
        </w:trPr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both"/>
              <w:rPr/>
            </w:pPr>
            <w:r>
              <w:rPr/>
              <w:t>Развитие архивного дела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845,06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591,54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579,71</w:t>
            </w:r>
          </w:p>
        </w:tc>
      </w:tr>
      <w:tr>
        <w:trPr>
          <w:trHeight w:val="1" w:hRule="atLeast"/>
        </w:trPr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both"/>
              <w:rPr/>
            </w:pPr>
            <w:r>
              <w:rPr/>
              <w:t>Реализация мероприятий, направленных на поддержку и развитие художественно-творческой деятельности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18,82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20,2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20,2</w:t>
            </w:r>
          </w:p>
        </w:tc>
      </w:tr>
      <w:tr>
        <w:trPr>
          <w:trHeight w:val="1" w:hRule="atLeast"/>
        </w:trPr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both"/>
              <w:rPr/>
            </w:pPr>
            <w:r>
              <w:rPr/>
              <w:t>Мероприятия в области работы с молодежью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47,0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242,0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193,3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196,13</w:t>
            </w:r>
          </w:p>
        </w:tc>
      </w:tr>
      <w:tr>
        <w:trPr>
          <w:trHeight w:val="1" w:hRule="atLeast"/>
        </w:trPr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both"/>
              <w:rPr/>
            </w:pPr>
            <w:r>
              <w:rPr/>
              <w:t>Содействие занятости несовершеннолетних граждан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200,0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230,0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300,0</w:t>
            </w:r>
          </w:p>
        </w:tc>
      </w:tr>
      <w:tr>
        <w:trPr>
          <w:trHeight w:val="1" w:hRule="atLeast"/>
        </w:trPr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both"/>
              <w:rPr/>
            </w:pPr>
            <w:r>
              <w:rPr/>
              <w:t xml:space="preserve">Выполнение работ по ремонту воинских захоронений, расположенных на территории сельских поселений района 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2,788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1,483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1,326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1,485</w:t>
            </w:r>
          </w:p>
        </w:tc>
      </w:tr>
      <w:tr>
        <w:trPr>
          <w:trHeight w:val="1" w:hRule="atLeast"/>
        </w:trPr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both"/>
              <w:rPr/>
            </w:pPr>
            <w:r>
              <w:rPr/>
              <w:t xml:space="preserve">                             </w:t>
            </w:r>
            <w:r>
              <w:rPr/>
              <w:t>ИТОГО: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>
                <w:b/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>
                <w:b/>
              </w:rPr>
              <w:t>6959,27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>
                <w:b/>
                <w:b/>
              </w:rPr>
            </w:pPr>
            <w:r>
              <w:rPr>
                <w:b/>
              </w:rPr>
              <w:t>6372,443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>
                <w:b/>
              </w:rPr>
              <w:t>4685,326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>
                <w:b/>
              </w:rPr>
              <w:t>4654,495</w:t>
            </w:r>
          </w:p>
        </w:tc>
      </w:tr>
    </w:tbl>
    <w:p>
      <w:pPr>
        <w:pStyle w:val="Normal"/>
        <w:tabs>
          <w:tab w:val="clear" w:pos="720"/>
          <w:tab w:val="left" w:pos="902" w:leader="none"/>
        </w:tabs>
        <w:spacing w:before="0" w:after="200"/>
        <w:ind w:left="5" w:right="19" w:hanging="5"/>
        <w:jc w:val="both"/>
        <w:rPr>
          <w:highlight w:val="white"/>
        </w:rPr>
      </w:pPr>
      <w:r>
        <w:rPr>
          <w:highlight w:val="white"/>
        </w:rPr>
      </w:r>
    </w:p>
    <w:p>
      <w:pPr>
        <w:pStyle w:val="Normal"/>
        <w:tabs>
          <w:tab w:val="clear" w:pos="720"/>
          <w:tab w:val="left" w:pos="902" w:leader="none"/>
        </w:tabs>
        <w:spacing w:before="0" w:after="200"/>
        <w:ind w:left="720" w:right="19" w:hanging="0"/>
        <w:jc w:val="center"/>
        <w:rPr/>
      </w:pPr>
      <w:r>
        <w:rPr>
          <w:b/>
          <w:highlight w:val="white"/>
        </w:rPr>
        <w:t>Обеспечение контроля над реализацией Программы</w:t>
      </w:r>
    </w:p>
    <w:p>
      <w:pPr>
        <w:pStyle w:val="Normal"/>
        <w:tabs>
          <w:tab w:val="clear" w:pos="720"/>
          <w:tab w:val="left" w:pos="902" w:leader="none"/>
        </w:tabs>
        <w:spacing w:lineRule="auto" w:line="271"/>
        <w:ind w:left="5" w:right="19" w:firstLine="538"/>
        <w:jc w:val="both"/>
        <w:rPr>
          <w:highlight w:val="white"/>
        </w:rPr>
      </w:pPr>
      <w:r>
        <w:rPr>
          <w:highlight w:val="white"/>
        </w:rPr>
        <w:t>Отдел социальной работы Администрации Лахденпохского муниципального района обеспечивает координацию и мониторинг работ по выполнению Программы, вносит в установленном порядке предложения по изменению мероприятий, суммы финансового обеспечения Программы, с учетом складывающейся социально-экономической ситуации и предоставляет информацию по выполнению программы в первом квартале  2018, 2019, 2020, 2021, 2022 годов, размещает на официальном сайте администрации   информацию о муниципальной программе, ходе её реализации, достижении значений показателей (индикаторов) муниципальной программы, степени выполнения мероприятий муниципальной программы.</w:t>
      </w:r>
    </w:p>
    <w:p>
      <w:pPr>
        <w:pStyle w:val="Normal"/>
        <w:tabs>
          <w:tab w:val="clear" w:pos="720"/>
          <w:tab w:val="left" w:pos="902" w:leader="none"/>
        </w:tabs>
        <w:spacing w:lineRule="auto" w:line="271"/>
        <w:ind w:left="5" w:right="19" w:firstLine="538"/>
        <w:jc w:val="both"/>
        <w:rPr>
          <w:highlight w:val="white"/>
        </w:rPr>
      </w:pPr>
      <w:r>
        <w:rPr>
          <w:highlight w:val="white"/>
        </w:rPr>
      </w:r>
    </w:p>
    <w:p>
      <w:pPr>
        <w:pStyle w:val="Normal"/>
        <w:tabs>
          <w:tab w:val="clear" w:pos="720"/>
          <w:tab w:val="left" w:pos="902" w:leader="none"/>
        </w:tabs>
        <w:spacing w:lineRule="auto" w:line="271"/>
        <w:ind w:left="720" w:right="19" w:hanging="0"/>
        <w:jc w:val="center"/>
        <w:rPr>
          <w:b/>
          <w:b/>
          <w:highlight w:val="white"/>
        </w:rPr>
      </w:pPr>
      <w:r>
        <w:rPr>
          <w:b/>
          <w:highlight w:val="white"/>
        </w:rPr>
        <w:t>Оценка планируемой эффективности реализации Программы</w:t>
      </w:r>
    </w:p>
    <w:p>
      <w:pPr>
        <w:pStyle w:val="Normal"/>
        <w:tabs>
          <w:tab w:val="clear" w:pos="720"/>
          <w:tab w:val="left" w:pos="993" w:leader="none"/>
        </w:tabs>
        <w:ind w:left="0" w:right="0" w:firstLine="540"/>
        <w:jc w:val="both"/>
        <w:rPr/>
      </w:pPr>
      <w:r>
        <w:rPr/>
        <w:t>1.</w:t>
        <w:tab/>
        <w:t>Оценка эффективности реализации Программы осуществляется в целях контроля, прогноза достижения результатов реализации и своевременного принятия мер по повышению эффективности расходования бюджетных средств и характеризует уровень достижения целевых индикаторов Программы, показателей результатов задач Программы, показателей эффективности Программы.</w:t>
      </w:r>
    </w:p>
    <w:p>
      <w:pPr>
        <w:pStyle w:val="Normal"/>
        <w:ind w:left="0" w:right="0" w:firstLine="540"/>
        <w:jc w:val="both"/>
        <w:rPr/>
      </w:pPr>
      <w:r>
        <w:rPr/>
        <w:t>2. Оценка эффективности реализации Программы ежегодно осуществляется отделом экономики и инвестиционной политики АЛМР на основании данных годовых отчетов о ходе реализации и об оценке эффективности реализации Программы (далее - отчеты) с учетом информации отдела бюджета и межбюджетных отношений  АЛМР в части финансового обеспечения.</w:t>
      </w:r>
    </w:p>
    <w:p>
      <w:pPr>
        <w:pStyle w:val="Normal"/>
        <w:ind w:left="0" w:right="0" w:firstLine="540"/>
        <w:jc w:val="both"/>
        <w:rPr/>
      </w:pPr>
      <w:r>
        <w:rPr/>
        <w:t>3. Оценка эффективности реализации Программы осуществляется по следующей формуле:</w:t>
      </w:r>
    </w:p>
    <w:p>
      <w:pPr>
        <w:pStyle w:val="Normal"/>
        <w:ind w:left="0" w:right="0" w:firstLine="540"/>
        <w:jc w:val="both"/>
        <w:rPr/>
      </w:pPr>
      <w:r>
        <w:rPr/>
        <w:t>R = SUM (Yi x Bi), где:</w:t>
      </w:r>
    </w:p>
    <w:p>
      <w:pPr>
        <w:pStyle w:val="Normal"/>
        <w:ind w:left="0" w:right="0" w:firstLine="540"/>
        <w:jc w:val="both"/>
        <w:rPr/>
      </w:pPr>
      <w:r>
        <w:rPr/>
        <w:t>R - оценка эффективности реализации муниципальной программы;</w:t>
      </w:r>
    </w:p>
    <w:p>
      <w:pPr>
        <w:pStyle w:val="Normal"/>
        <w:ind w:left="0" w:right="0" w:firstLine="540"/>
        <w:jc w:val="both"/>
        <w:rPr/>
      </w:pPr>
      <w:r>
        <w:rPr/>
        <w:t>Yi - весовое значение соответствующего (i) критерия;</w:t>
      </w:r>
    </w:p>
    <w:p>
      <w:pPr>
        <w:pStyle w:val="Normal"/>
        <w:ind w:left="0" w:right="0" w:firstLine="540"/>
        <w:jc w:val="both"/>
        <w:rPr/>
      </w:pPr>
      <w:r>
        <w:rPr/>
        <w:t>Bi - балл по соответствующему (i) критерию.</w:t>
      </w:r>
    </w:p>
    <w:p>
      <w:pPr>
        <w:pStyle w:val="Normal"/>
        <w:ind w:left="0" w:right="0" w:firstLine="540"/>
        <w:jc w:val="both"/>
        <w:rPr/>
      </w:pPr>
      <w:r>
        <w:rPr/>
        <w:t>4. Критериями оценки эффективности реализации Программы являются:</w:t>
      </w:r>
    </w:p>
    <w:p>
      <w:pPr>
        <w:pStyle w:val="Normal"/>
        <w:ind w:left="0" w:right="0" w:firstLine="540"/>
        <w:jc w:val="both"/>
        <w:rPr/>
      </w:pPr>
      <w:r>
        <w:rPr/>
      </w:r>
    </w:p>
    <w:tbl>
      <w:tblPr>
        <w:tblW w:w="9720" w:type="dxa"/>
        <w:jc w:val="left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0" w:type="dxa"/>
          <w:left w:w="64" w:type="dxa"/>
          <w:bottom w:w="0" w:type="dxa"/>
          <w:right w:w="74" w:type="dxa"/>
        </w:tblCellMar>
      </w:tblPr>
      <w:tblGrid>
        <w:gridCol w:w="615"/>
        <w:gridCol w:w="1230"/>
        <w:gridCol w:w="1845"/>
        <w:gridCol w:w="4770"/>
        <w:gridCol w:w="1260"/>
      </w:tblGrid>
      <w:tr>
        <w:trPr>
          <w:trHeight w:val="800" w:hRule="atLeast"/>
        </w:trPr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/>
              <w:t>N</w:t>
            </w:r>
          </w:p>
          <w:p>
            <w:pPr>
              <w:pStyle w:val="Normal"/>
              <w:jc w:val="center"/>
              <w:rPr/>
            </w:pPr>
            <w:r>
              <w:rPr/>
              <w:t>п/п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/>
              <w:t>Весовое</w:t>
            </w:r>
          </w:p>
          <w:p>
            <w:pPr>
              <w:pStyle w:val="Normal"/>
              <w:jc w:val="center"/>
              <w:rPr/>
            </w:pPr>
            <w:r>
              <w:rPr/>
              <w:t>значение</w:t>
            </w:r>
          </w:p>
          <w:p>
            <w:pPr>
              <w:pStyle w:val="Normal"/>
              <w:jc w:val="center"/>
              <w:rPr/>
            </w:pPr>
            <w:r>
              <w:rPr/>
              <w:t>критерия</w:t>
            </w:r>
          </w:p>
          <w:p>
            <w:pPr>
              <w:pStyle w:val="Normal"/>
              <w:jc w:val="center"/>
              <w:rPr/>
            </w:pPr>
            <w:r>
              <w:rPr/>
              <w:t>(Y)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/>
              <w:t>Наименование</w:t>
            </w:r>
          </w:p>
          <w:p>
            <w:pPr>
              <w:pStyle w:val="Normal"/>
              <w:jc w:val="center"/>
              <w:rPr/>
            </w:pPr>
            <w:r>
              <w:rPr/>
              <w:t>критерия</w:t>
            </w:r>
          </w:p>
        </w:tc>
        <w:tc>
          <w:tcPr>
            <w:tcW w:w="4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/>
              <w:t>Значение критерия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/>
              <w:t>Балльная</w:t>
            </w:r>
          </w:p>
          <w:p>
            <w:pPr>
              <w:pStyle w:val="Normal"/>
              <w:jc w:val="center"/>
              <w:rPr/>
            </w:pPr>
            <w:r>
              <w:rPr/>
              <w:t>оценка</w:t>
            </w:r>
          </w:p>
          <w:p>
            <w:pPr>
              <w:pStyle w:val="Normal"/>
              <w:jc w:val="center"/>
              <w:rPr/>
            </w:pPr>
            <w:r>
              <w:rPr/>
              <w:t>(B)</w:t>
            </w:r>
          </w:p>
        </w:tc>
      </w:tr>
      <w:tr>
        <w:trPr>
          <w:trHeight w:val="769" w:hRule="atLeast"/>
        </w:trPr>
        <w:tc>
          <w:tcPr>
            <w:tcW w:w="615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 xml:space="preserve"> </w:t>
            </w:r>
            <w:r>
              <w:rPr/>
              <w:t>1.</w:t>
            </w:r>
          </w:p>
        </w:tc>
        <w:tc>
          <w:tcPr>
            <w:tcW w:w="1230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 xml:space="preserve">Y1=0,35 </w:t>
            </w:r>
          </w:p>
        </w:tc>
        <w:tc>
          <w:tcPr>
            <w:tcW w:w="1845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 xml:space="preserve">достижение   </w:t>
            </w:r>
          </w:p>
          <w:p>
            <w:pPr>
              <w:pStyle w:val="Normal"/>
              <w:rPr/>
            </w:pPr>
            <w:r>
              <w:rPr/>
              <w:t xml:space="preserve">целевых      </w:t>
            </w:r>
          </w:p>
          <w:p>
            <w:pPr>
              <w:pStyle w:val="Normal"/>
              <w:rPr/>
            </w:pPr>
            <w:r>
              <w:rPr/>
              <w:t xml:space="preserve">индикаторов  </w:t>
            </w:r>
          </w:p>
          <w:p>
            <w:pPr>
              <w:pStyle w:val="Normal"/>
              <w:rPr/>
            </w:pPr>
            <w:r>
              <w:rPr/>
              <w:t xml:space="preserve">Программы в  </w:t>
            </w:r>
          </w:p>
          <w:p>
            <w:pPr>
              <w:pStyle w:val="Normal"/>
              <w:rPr/>
            </w:pPr>
            <w:r>
              <w:rPr/>
              <w:t>отчетном году</w:t>
            </w:r>
          </w:p>
          <w:p>
            <w:pPr>
              <w:pStyle w:val="Normal"/>
              <w:rPr/>
            </w:pPr>
            <w:r>
              <w:rPr/>
              <w:t xml:space="preserve">(X1)         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100% целевых индикаторов в отчетном году соответствуют или выше утвержденных Программой  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 xml:space="preserve">   </w:t>
            </w:r>
            <w:r>
              <w:rPr/>
              <w:t xml:space="preserve">10   </w:t>
            </w:r>
          </w:p>
        </w:tc>
      </w:tr>
      <w:tr>
        <w:trPr>
          <w:trHeight w:val="871" w:hRule="atLeast"/>
        </w:trPr>
        <w:tc>
          <w:tcPr>
            <w:tcW w:w="615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0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45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77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более 80% целевых индикаторов в отчетном году соответствуют или выше утвержденных Программой                        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 xml:space="preserve">    </w:t>
            </w:r>
            <w:r>
              <w:rPr/>
              <w:t xml:space="preserve">6   </w:t>
            </w:r>
          </w:p>
        </w:tc>
      </w:tr>
      <w:tr>
        <w:trPr>
          <w:trHeight w:val="875" w:hRule="atLeast"/>
        </w:trPr>
        <w:tc>
          <w:tcPr>
            <w:tcW w:w="615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0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45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77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от 50 до 79% целевых индикаторов  в отчетном году соответствуют или выше утвержденных Программой                        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 xml:space="preserve">    </w:t>
            </w:r>
            <w:r>
              <w:rPr/>
              <w:t xml:space="preserve">3   </w:t>
            </w:r>
          </w:p>
        </w:tc>
      </w:tr>
      <w:tr>
        <w:trPr>
          <w:trHeight w:val="1000" w:hRule="atLeast"/>
        </w:trPr>
        <w:tc>
          <w:tcPr>
            <w:tcW w:w="615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0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45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77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менее 50% целевых индикаторов в отчетном году соответствуют или  выше утвержденных Программой либо показатели         </w:t>
            </w:r>
          </w:p>
          <w:p>
            <w:pPr>
              <w:pStyle w:val="Normal"/>
              <w:rPr/>
            </w:pPr>
            <w:r>
              <w:rPr/>
              <w:t xml:space="preserve">достижения целей не установлены   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 xml:space="preserve">    </w:t>
            </w:r>
            <w:r>
              <w:rPr/>
              <w:t xml:space="preserve">0   </w:t>
            </w:r>
          </w:p>
        </w:tc>
      </w:tr>
      <w:tr>
        <w:trPr>
          <w:trHeight w:val="743" w:hRule="atLeast"/>
        </w:trPr>
        <w:tc>
          <w:tcPr>
            <w:tcW w:w="615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 xml:space="preserve"> </w:t>
            </w:r>
            <w:r>
              <w:rPr/>
              <w:t>2.</w:t>
            </w:r>
          </w:p>
        </w:tc>
        <w:tc>
          <w:tcPr>
            <w:tcW w:w="1230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 xml:space="preserve">Y2=0,3  </w:t>
            </w:r>
          </w:p>
        </w:tc>
        <w:tc>
          <w:tcPr>
            <w:tcW w:w="1845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 xml:space="preserve">достижение   </w:t>
            </w:r>
          </w:p>
          <w:p>
            <w:pPr>
              <w:pStyle w:val="Normal"/>
              <w:rPr/>
            </w:pPr>
            <w:r>
              <w:rPr/>
              <w:t xml:space="preserve">показателей  </w:t>
            </w:r>
          </w:p>
          <w:p>
            <w:pPr>
              <w:pStyle w:val="Normal"/>
              <w:rPr/>
            </w:pPr>
            <w:r>
              <w:rPr/>
              <w:t xml:space="preserve">результатов  </w:t>
            </w:r>
          </w:p>
          <w:p>
            <w:pPr>
              <w:pStyle w:val="Normal"/>
              <w:jc w:val="both"/>
              <w:rPr/>
            </w:pPr>
            <w:r>
              <w:rPr/>
              <w:t xml:space="preserve">Программы в  </w:t>
            </w:r>
          </w:p>
          <w:p>
            <w:pPr>
              <w:pStyle w:val="Normal"/>
              <w:rPr/>
            </w:pPr>
            <w:r>
              <w:rPr/>
              <w:t xml:space="preserve">отчетном     </w:t>
            </w:r>
          </w:p>
          <w:p>
            <w:pPr>
              <w:pStyle w:val="Normal"/>
              <w:rPr/>
            </w:pPr>
            <w:r>
              <w:rPr/>
              <w:t xml:space="preserve">году (X2)    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100% показателей результатов в отчетном году соответствуют или выше утвержденных Программой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 xml:space="preserve">   </w:t>
            </w:r>
            <w:r>
              <w:rPr/>
              <w:t xml:space="preserve">10   </w:t>
            </w:r>
          </w:p>
        </w:tc>
      </w:tr>
      <w:tr>
        <w:trPr>
          <w:trHeight w:val="872" w:hRule="atLeast"/>
        </w:trPr>
        <w:tc>
          <w:tcPr>
            <w:tcW w:w="615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0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45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77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от 85 до 99% показателей  результатов в отчетном году  соответствуют или выше утвержденных Программой          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 xml:space="preserve">    </w:t>
            </w:r>
            <w:r>
              <w:rPr/>
              <w:t xml:space="preserve">6   </w:t>
            </w:r>
          </w:p>
        </w:tc>
      </w:tr>
      <w:tr>
        <w:trPr>
          <w:trHeight w:val="877" w:hRule="atLeast"/>
        </w:trPr>
        <w:tc>
          <w:tcPr>
            <w:tcW w:w="615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0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45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77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от 50 до 84% показателей  результатов в отчетном году соответствуют или выше утвержденных Программой          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 xml:space="preserve">    </w:t>
            </w:r>
            <w:r>
              <w:rPr/>
              <w:t xml:space="preserve">3   </w:t>
            </w:r>
          </w:p>
        </w:tc>
      </w:tr>
      <w:tr>
        <w:trPr>
          <w:trHeight w:val="1000" w:hRule="atLeast"/>
        </w:trPr>
        <w:tc>
          <w:tcPr>
            <w:tcW w:w="615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0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45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77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менее 50% показателей результатов  в отчетном году соответствуют или  выше утвержденных Программой, либо показатели решения задач не установлены              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 xml:space="preserve">    </w:t>
            </w:r>
            <w:r>
              <w:rPr/>
              <w:t xml:space="preserve">0   </w:t>
            </w:r>
          </w:p>
        </w:tc>
      </w:tr>
      <w:tr>
        <w:trPr>
          <w:trHeight w:val="744" w:hRule="atLeast"/>
        </w:trPr>
        <w:tc>
          <w:tcPr>
            <w:tcW w:w="615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 xml:space="preserve"> </w:t>
            </w:r>
            <w:r>
              <w:rPr/>
              <w:t>3.</w:t>
            </w:r>
          </w:p>
        </w:tc>
        <w:tc>
          <w:tcPr>
            <w:tcW w:w="1230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 xml:space="preserve">Y3=0,35 </w:t>
            </w:r>
          </w:p>
        </w:tc>
        <w:tc>
          <w:tcPr>
            <w:tcW w:w="1845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 xml:space="preserve">достижение   </w:t>
            </w:r>
          </w:p>
          <w:p>
            <w:pPr>
              <w:pStyle w:val="Normal"/>
              <w:rPr/>
            </w:pPr>
            <w:r>
              <w:rPr/>
              <w:t xml:space="preserve">показателей  </w:t>
            </w:r>
          </w:p>
          <w:p>
            <w:pPr>
              <w:pStyle w:val="Normal"/>
              <w:rPr/>
            </w:pPr>
            <w:r>
              <w:rPr/>
              <w:t>эффективности</w:t>
            </w:r>
          </w:p>
          <w:p>
            <w:pPr>
              <w:pStyle w:val="Normal"/>
              <w:rPr/>
            </w:pPr>
            <w:r>
              <w:rPr/>
              <w:t xml:space="preserve">Программы в  </w:t>
            </w:r>
          </w:p>
          <w:p>
            <w:pPr>
              <w:pStyle w:val="Normal"/>
              <w:rPr/>
            </w:pPr>
            <w:r>
              <w:rPr/>
              <w:t>отчетном году</w:t>
            </w:r>
          </w:p>
          <w:p>
            <w:pPr>
              <w:pStyle w:val="Normal"/>
              <w:rPr/>
            </w:pPr>
            <w:r>
              <w:rPr/>
              <w:t xml:space="preserve">(X3)         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в отчетном году достигнуты 100% показателей эффективности,  утвержденных  Программой                        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 xml:space="preserve">   </w:t>
            </w:r>
            <w:r>
              <w:rPr/>
              <w:t xml:space="preserve">10   </w:t>
            </w:r>
          </w:p>
        </w:tc>
      </w:tr>
      <w:tr>
        <w:trPr>
          <w:trHeight w:val="861" w:hRule="atLeast"/>
        </w:trPr>
        <w:tc>
          <w:tcPr>
            <w:tcW w:w="615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0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45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77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в отчетном году достигнуты от 85  до 99% показателей эффективности, утвержденных Программой                        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 xml:space="preserve">    </w:t>
            </w:r>
            <w:r>
              <w:rPr/>
              <w:t xml:space="preserve">6   </w:t>
            </w:r>
          </w:p>
        </w:tc>
      </w:tr>
      <w:tr>
        <w:trPr>
          <w:trHeight w:val="878" w:hRule="atLeast"/>
        </w:trPr>
        <w:tc>
          <w:tcPr>
            <w:tcW w:w="615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0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45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77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в отчетном году достигнуты от 50  до 84% показателей эффективности, утвержденных Программой                        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 xml:space="preserve">    </w:t>
            </w:r>
            <w:r>
              <w:rPr/>
              <w:t xml:space="preserve">3   </w:t>
            </w:r>
          </w:p>
        </w:tc>
      </w:tr>
      <w:tr>
        <w:trPr>
          <w:trHeight w:val="697" w:hRule="atLeast"/>
        </w:trPr>
        <w:tc>
          <w:tcPr>
            <w:tcW w:w="615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0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45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77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в отчетном году достигнуты менее  50% показателей эффективности,  утвержденных Программой, показатели  эффективности не установлены  либо информация об их выполнении не представлена.                   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 xml:space="preserve">    </w:t>
            </w:r>
            <w:r>
              <w:rPr/>
              <w:t xml:space="preserve">0   </w:t>
            </w:r>
          </w:p>
        </w:tc>
      </w:tr>
    </w:tbl>
    <w:p>
      <w:pPr>
        <w:pStyle w:val="Normal"/>
        <w:spacing w:lineRule="auto" w:line="276"/>
        <w:jc w:val="center"/>
        <w:rPr>
          <w:rFonts w:ascii="Calibri" w:hAnsi="Calibri" w:eastAsia="Calibri" w:cs="Calibri"/>
          <w:b/>
          <w:b/>
          <w:sz w:val="22"/>
        </w:rPr>
      </w:pPr>
      <w:r>
        <w:rPr>
          <w:rFonts w:eastAsia="Calibri" w:cs="Calibri" w:ascii="Calibri" w:hAnsi="Calibri"/>
          <w:b/>
          <w:sz w:val="22"/>
        </w:rPr>
      </w:r>
    </w:p>
    <w:p>
      <w:pPr>
        <w:pStyle w:val="Normal"/>
        <w:spacing w:lineRule="auto" w:line="276" w:before="0" w:after="200"/>
        <w:jc w:val="center"/>
        <w:rPr>
          <w:rFonts w:ascii="Calibri" w:hAnsi="Calibri" w:eastAsia="Calibri" w:cs="Calibri"/>
          <w:b/>
          <w:b/>
          <w:sz w:val="22"/>
        </w:rPr>
      </w:pPr>
      <w:r>
        <w:rPr>
          <w:rFonts w:eastAsia="Calibri" w:cs="Calibri" w:ascii="Calibri" w:hAnsi="Calibri"/>
          <w:b/>
          <w:sz w:val="22"/>
        </w:rPr>
      </w:r>
    </w:p>
    <w:p>
      <w:pPr>
        <w:pStyle w:val="Normal"/>
        <w:spacing w:lineRule="auto" w:line="276" w:before="0" w:after="200"/>
        <w:jc w:val="center"/>
        <w:rPr>
          <w:rFonts w:ascii="Calibri" w:hAnsi="Calibri" w:eastAsia="Calibri" w:cs="Calibri"/>
          <w:b/>
          <w:b/>
          <w:sz w:val="22"/>
        </w:rPr>
      </w:pPr>
      <w:r>
        <w:rPr>
          <w:rFonts w:eastAsia="Calibri" w:cs="Calibri" w:ascii="Calibri" w:hAnsi="Calibri"/>
          <w:b/>
          <w:sz w:val="22"/>
        </w:rPr>
      </w:r>
    </w:p>
    <w:p>
      <w:pPr>
        <w:pStyle w:val="Normal"/>
        <w:spacing w:lineRule="auto" w:line="276"/>
        <w:rPr>
          <w:rFonts w:ascii="Calibri" w:hAnsi="Calibri" w:eastAsia="Calibri" w:cs="Calibri"/>
          <w:sz w:val="22"/>
        </w:rPr>
      </w:pPr>
      <w:r>
        <w:rPr>
          <w:rFonts w:eastAsia="Calibri" w:cs="Calibri" w:ascii="Calibri" w:hAnsi="Calibri"/>
          <w:sz w:val="22"/>
        </w:rPr>
      </w:r>
    </w:p>
    <w:p>
      <w:pPr>
        <w:pStyle w:val="Normal"/>
        <w:spacing w:lineRule="auto" w:line="276"/>
        <w:rPr>
          <w:rFonts w:ascii="Calibri" w:hAnsi="Calibri" w:eastAsia="Calibri" w:cs="Calibri"/>
          <w:sz w:val="22"/>
        </w:rPr>
      </w:pPr>
      <w:r>
        <w:rPr>
          <w:rFonts w:eastAsia="Calibri" w:cs="Calibri" w:ascii="Calibri" w:hAnsi="Calibri"/>
          <w:sz w:val="22"/>
        </w:rPr>
      </w:r>
    </w:p>
    <w:p>
      <w:pPr>
        <w:pStyle w:val="Normal"/>
        <w:spacing w:lineRule="auto" w:line="276"/>
        <w:ind w:left="0" w:right="0" w:hanging="0"/>
        <w:jc w:val="center"/>
        <w:rPr/>
      </w:pPr>
      <w:r>
        <w:rPr/>
      </w:r>
    </w:p>
    <w:p>
      <w:pPr>
        <w:pStyle w:val="Normal"/>
        <w:spacing w:lineRule="auto" w:line="276"/>
        <w:ind w:left="0" w:right="0" w:hanging="0"/>
        <w:jc w:val="center"/>
        <w:rPr/>
      </w:pPr>
      <w:r>
        <w:rPr/>
      </w:r>
    </w:p>
    <w:p>
      <w:pPr>
        <w:pStyle w:val="Normal"/>
        <w:spacing w:lineRule="auto" w:line="276"/>
        <w:ind w:left="0" w:right="0" w:hanging="0"/>
        <w:jc w:val="center"/>
        <w:rPr/>
      </w:pPr>
      <w:r>
        <w:rPr/>
      </w:r>
    </w:p>
    <w:p>
      <w:pPr>
        <w:pStyle w:val="Normal"/>
        <w:spacing w:lineRule="auto" w:line="276"/>
        <w:ind w:left="0" w:right="0" w:hanging="0"/>
        <w:jc w:val="center"/>
        <w:rPr/>
      </w:pPr>
      <w:r>
        <w:rPr/>
      </w:r>
    </w:p>
    <w:p>
      <w:pPr>
        <w:pStyle w:val="Normal"/>
        <w:spacing w:lineRule="auto" w:line="276"/>
        <w:ind w:left="0" w:right="0" w:hanging="0"/>
        <w:jc w:val="center"/>
        <w:rPr/>
      </w:pPr>
      <w:r>
        <w:rPr/>
      </w:r>
    </w:p>
    <w:p>
      <w:pPr>
        <w:pStyle w:val="Normal"/>
        <w:spacing w:lineRule="auto" w:line="276"/>
        <w:ind w:left="0" w:right="0" w:hanging="0"/>
        <w:jc w:val="center"/>
        <w:rPr/>
      </w:pPr>
      <w:r>
        <w:rPr/>
      </w:r>
    </w:p>
    <w:p>
      <w:pPr>
        <w:pStyle w:val="Normal"/>
        <w:spacing w:lineRule="auto" w:line="276"/>
        <w:ind w:left="0" w:right="0" w:hanging="0"/>
        <w:jc w:val="center"/>
        <w:rPr/>
      </w:pPr>
      <w:r>
        <w:rPr/>
      </w:r>
    </w:p>
    <w:p>
      <w:pPr>
        <w:pStyle w:val="Normal"/>
        <w:spacing w:lineRule="auto" w:line="276"/>
        <w:ind w:left="0" w:right="0" w:hanging="0"/>
        <w:jc w:val="center"/>
        <w:rPr/>
      </w:pPr>
      <w:r>
        <w:rPr/>
      </w:r>
    </w:p>
    <w:p>
      <w:pPr>
        <w:pStyle w:val="Normal"/>
        <w:spacing w:lineRule="auto" w:line="276"/>
        <w:ind w:left="0" w:right="0" w:hanging="0"/>
        <w:jc w:val="center"/>
        <w:rPr/>
      </w:pPr>
      <w:r>
        <w:rPr/>
      </w:r>
    </w:p>
    <w:p>
      <w:pPr>
        <w:pStyle w:val="Normal"/>
        <w:spacing w:lineRule="auto" w:line="276"/>
        <w:ind w:left="0" w:right="0" w:hanging="0"/>
        <w:jc w:val="center"/>
        <w:rPr/>
      </w:pPr>
      <w:r>
        <w:rPr/>
      </w:r>
    </w:p>
    <w:p>
      <w:pPr>
        <w:pStyle w:val="Normal"/>
        <w:spacing w:lineRule="auto" w:line="276"/>
        <w:ind w:left="0" w:right="0" w:hanging="0"/>
        <w:jc w:val="center"/>
        <w:rPr/>
      </w:pPr>
      <w:r>
        <w:rPr/>
      </w:r>
    </w:p>
    <w:p>
      <w:pPr>
        <w:pStyle w:val="Normal"/>
        <w:spacing w:lineRule="auto" w:line="276"/>
        <w:ind w:left="0" w:right="0" w:hanging="0"/>
        <w:jc w:val="center"/>
        <w:rPr/>
      </w:pPr>
      <w:r>
        <w:rPr/>
      </w:r>
    </w:p>
    <w:p>
      <w:pPr>
        <w:pStyle w:val="Normal"/>
        <w:spacing w:lineRule="auto" w:line="276"/>
        <w:ind w:left="0" w:right="0" w:hanging="0"/>
        <w:jc w:val="center"/>
        <w:rPr/>
      </w:pPr>
      <w:r>
        <w:rPr/>
      </w:r>
    </w:p>
    <w:p>
      <w:pPr>
        <w:pStyle w:val="Normal"/>
        <w:spacing w:lineRule="auto" w:line="276"/>
        <w:ind w:left="0" w:right="0" w:hanging="0"/>
        <w:jc w:val="center"/>
        <w:rPr/>
      </w:pPr>
      <w:r>
        <w:rPr/>
      </w:r>
    </w:p>
    <w:p>
      <w:pPr>
        <w:pStyle w:val="Normal"/>
        <w:spacing w:lineRule="auto" w:line="276"/>
        <w:ind w:left="0" w:right="0" w:hanging="0"/>
        <w:jc w:val="center"/>
        <w:rPr/>
      </w:pPr>
      <w:r>
        <w:rPr/>
      </w:r>
    </w:p>
    <w:p>
      <w:pPr>
        <w:pStyle w:val="Normal"/>
        <w:spacing w:lineRule="auto" w:line="276"/>
        <w:ind w:left="0" w:right="0" w:hanging="0"/>
        <w:jc w:val="center"/>
        <w:rPr/>
      </w:pPr>
      <w:r>
        <w:rPr/>
      </w:r>
    </w:p>
    <w:p>
      <w:pPr>
        <w:pStyle w:val="Normal"/>
        <w:spacing w:lineRule="auto" w:line="276"/>
        <w:ind w:left="0" w:right="0" w:hanging="0"/>
        <w:jc w:val="center"/>
        <w:rPr/>
      </w:pPr>
      <w:r>
        <w:rPr/>
      </w:r>
    </w:p>
    <w:p>
      <w:pPr>
        <w:pStyle w:val="Normal"/>
        <w:spacing w:lineRule="auto" w:line="276"/>
        <w:ind w:left="0" w:right="0" w:hanging="0"/>
        <w:jc w:val="center"/>
        <w:rPr/>
      </w:pPr>
      <w:r>
        <w:rPr/>
      </w:r>
    </w:p>
    <w:p>
      <w:pPr>
        <w:pStyle w:val="Normal"/>
        <w:spacing w:lineRule="auto" w:line="276"/>
        <w:ind w:left="0" w:right="0" w:hanging="0"/>
        <w:jc w:val="center"/>
        <w:rPr/>
      </w:pPr>
      <w:r>
        <w:rPr/>
      </w:r>
    </w:p>
    <w:p>
      <w:pPr>
        <w:pStyle w:val="Normal"/>
        <w:spacing w:lineRule="auto" w:line="276"/>
        <w:ind w:left="0" w:right="0" w:hanging="0"/>
        <w:jc w:val="center"/>
        <w:rPr/>
      </w:pPr>
      <w:r>
        <w:rPr/>
      </w:r>
    </w:p>
    <w:p>
      <w:pPr>
        <w:pStyle w:val="Normal"/>
        <w:spacing w:lineRule="auto" w:line="276"/>
        <w:ind w:left="0" w:right="0" w:hanging="0"/>
        <w:jc w:val="center"/>
        <w:rPr/>
      </w:pPr>
      <w:r>
        <w:rPr/>
      </w:r>
    </w:p>
    <w:p>
      <w:pPr>
        <w:pStyle w:val="Normal"/>
        <w:spacing w:lineRule="auto" w:line="276"/>
        <w:ind w:left="0" w:right="0" w:hanging="0"/>
        <w:jc w:val="center"/>
        <w:rPr/>
      </w:pPr>
      <w:r>
        <w:rPr/>
      </w:r>
    </w:p>
    <w:p>
      <w:pPr>
        <w:pStyle w:val="Normal"/>
        <w:spacing w:lineRule="auto" w:line="276"/>
        <w:ind w:left="0" w:right="0" w:hanging="0"/>
        <w:jc w:val="center"/>
        <w:rPr/>
      </w:pPr>
      <w:r>
        <w:rPr/>
      </w:r>
    </w:p>
    <w:p>
      <w:pPr>
        <w:pStyle w:val="Normal"/>
        <w:spacing w:lineRule="auto" w:line="276"/>
        <w:ind w:left="0" w:right="0" w:hanging="0"/>
        <w:jc w:val="center"/>
        <w:rPr/>
      </w:pPr>
      <w:r>
        <w:rPr/>
      </w:r>
    </w:p>
    <w:p>
      <w:pPr>
        <w:pStyle w:val="Normal"/>
        <w:ind w:left="1080" w:right="0" w:hanging="0"/>
        <w:jc w:val="center"/>
        <w:rPr>
          <w:sz w:val="22"/>
        </w:rPr>
      </w:pPr>
      <w:r>
        <w:rPr>
          <w:sz w:val="22"/>
        </w:rPr>
      </w:r>
    </w:p>
    <w:p>
      <w:pPr>
        <w:pStyle w:val="Normal"/>
        <w:ind w:left="1080" w:right="0" w:hanging="0"/>
        <w:jc w:val="center"/>
        <w:rPr/>
      </w:pPr>
      <w:r>
        <w:rPr>
          <w:sz w:val="22"/>
        </w:rPr>
        <w:t>ПАСПОРТ</w:t>
      </w:r>
    </w:p>
    <w:p>
      <w:pPr>
        <w:pStyle w:val="Normal"/>
        <w:ind w:left="1080" w:right="0" w:hanging="0"/>
        <w:jc w:val="center"/>
        <w:rPr>
          <w:sz w:val="22"/>
        </w:rPr>
      </w:pPr>
      <w:r>
        <w:rPr>
          <w:sz w:val="22"/>
        </w:rPr>
        <w:t xml:space="preserve">муниципальной подпрограммы </w:t>
      </w:r>
    </w:p>
    <w:p>
      <w:pPr>
        <w:pStyle w:val="Normal"/>
        <w:ind w:left="1080" w:right="0" w:hanging="0"/>
        <w:jc w:val="center"/>
        <w:rPr>
          <w:sz w:val="22"/>
        </w:rPr>
      </w:pPr>
      <w:r>
        <w:rPr>
          <w:sz w:val="22"/>
        </w:rPr>
        <w:t xml:space="preserve"> </w:t>
      </w:r>
      <w:r>
        <w:rPr>
          <w:sz w:val="22"/>
        </w:rPr>
        <w:t>«Развитие муниципальных учреждений в сфере культуры»</w:t>
      </w:r>
    </w:p>
    <w:p>
      <w:pPr>
        <w:pStyle w:val="Normal"/>
        <w:ind w:left="1080" w:right="0" w:hanging="0"/>
        <w:rPr>
          <w:sz w:val="22"/>
        </w:rPr>
      </w:pPr>
      <w:r>
        <w:rPr>
          <w:sz w:val="22"/>
        </w:rPr>
      </w:r>
    </w:p>
    <w:tbl>
      <w:tblPr>
        <w:tblW w:w="9639" w:type="dxa"/>
        <w:jc w:val="left"/>
        <w:tblInd w:w="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69" w:type="dxa"/>
          <w:bottom w:w="0" w:type="dxa"/>
          <w:right w:w="74" w:type="dxa"/>
        </w:tblCellMar>
      </w:tblPr>
      <w:tblGrid>
        <w:gridCol w:w="3119"/>
        <w:gridCol w:w="6519"/>
      </w:tblGrid>
      <w:tr>
        <w:trPr>
          <w:trHeight w:val="600" w:hRule="atLeast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Наименование подпрограммы            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Муниципальная подпрограмма «Развитие муниципальных учреждений в сфере культуры» (далее – Подпрограмма 1) </w:t>
            </w:r>
          </w:p>
        </w:tc>
      </w:tr>
      <w:tr>
        <w:trPr>
          <w:trHeight w:val="600" w:hRule="atLeast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902" w:leader="none"/>
              </w:tabs>
              <w:spacing w:lineRule="auto" w:line="271"/>
              <w:ind w:left="0" w:right="19" w:hanging="0"/>
              <w:jc w:val="both"/>
              <w:rPr/>
            </w:pPr>
            <w:r>
              <w:rPr/>
              <w:t xml:space="preserve">Ответственный исполнитель и разработчик Подпрограммы - 1 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902" w:leader="none"/>
              </w:tabs>
              <w:spacing w:lineRule="auto" w:line="271"/>
              <w:ind w:left="0" w:right="19" w:hanging="0"/>
              <w:jc w:val="both"/>
              <w:rPr/>
            </w:pPr>
            <w:r>
              <w:rPr/>
              <w:t>Отдел социальной работы Администрации Лахденпохского муниципального района.</w:t>
            </w:r>
          </w:p>
        </w:tc>
      </w:tr>
      <w:tr>
        <w:trPr>
          <w:trHeight w:val="600" w:hRule="atLeast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>Соисполнители  Подпрограммы - 1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>МУ «РУО и ДМ»</w:t>
            </w:r>
          </w:p>
        </w:tc>
      </w:tr>
      <w:tr>
        <w:trPr>
          <w:trHeight w:val="600" w:hRule="atLeast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>Участники Подпрограммы - 1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>МБУК «ККЦ»</w:t>
            </w:r>
          </w:p>
          <w:p>
            <w:pPr>
              <w:pStyle w:val="Normal"/>
              <w:jc w:val="both"/>
              <w:rPr/>
            </w:pPr>
            <w:r>
              <w:rPr/>
              <w:t>МБУ «МБ ЛМР»</w:t>
            </w:r>
          </w:p>
          <w:p>
            <w:pPr>
              <w:pStyle w:val="Normal"/>
              <w:jc w:val="both"/>
              <w:rPr/>
            </w:pPr>
            <w:r>
              <w:rPr/>
              <w:t>МБУ ДО «ДШИ»</w:t>
            </w:r>
          </w:p>
          <w:p>
            <w:pPr>
              <w:pStyle w:val="Normal"/>
              <w:jc w:val="both"/>
              <w:rPr/>
            </w:pPr>
            <w:r>
              <w:rPr/>
              <w:t>МКУ «Лахденпохский архив»</w:t>
            </w:r>
          </w:p>
        </w:tc>
      </w:tr>
      <w:tr>
        <w:trPr>
          <w:trHeight w:val="600" w:hRule="atLeast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 xml:space="preserve">Цель Подпрограммы 1          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>Повышение эффективности деятельности муниципальных учреждений культуры и сохранение культурного и исторического наследия</w:t>
            </w:r>
          </w:p>
        </w:tc>
      </w:tr>
      <w:tr>
        <w:trPr>
          <w:trHeight w:val="699" w:hRule="atLeast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>Задачи Подпрограммы 1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208" w:leader="none"/>
                <w:tab w:val="left" w:pos="423" w:leader="none"/>
              </w:tabs>
              <w:suppressAutoHyphens w:val="true"/>
              <w:jc w:val="both"/>
              <w:rPr/>
            </w:pPr>
            <w:r>
              <w:rPr>
                <w:b/>
              </w:rPr>
              <w:t>Задача 1</w:t>
            </w:r>
            <w:r>
              <w:rPr/>
              <w:t xml:space="preserve"> - сохранение культурного и исторического наследия и расширение доступа граждан к культурным ценностям и информации</w:t>
            </w:r>
          </w:p>
          <w:p>
            <w:pPr>
              <w:pStyle w:val="Normal"/>
              <w:jc w:val="both"/>
              <w:rPr/>
            </w:pPr>
            <w:r>
              <w:rPr>
                <w:b/>
              </w:rPr>
              <w:t>Задача 2</w:t>
            </w:r>
            <w:r>
              <w:rPr/>
              <w:t xml:space="preserve"> - поддержка и развитие художественно-творческой деятельности и реализация творческого потенциала жителей района.</w:t>
            </w:r>
          </w:p>
          <w:p>
            <w:pPr>
              <w:pStyle w:val="Normal"/>
              <w:jc w:val="both"/>
              <w:rPr/>
            </w:pPr>
            <w:r>
              <w:rPr>
                <w:b/>
              </w:rPr>
              <w:t>Задача 3</w:t>
            </w:r>
            <w:r>
              <w:rPr/>
              <w:t xml:space="preserve"> - укрепление материально-технической базы муниципальных учреждений культуры.</w:t>
            </w:r>
          </w:p>
        </w:tc>
      </w:tr>
      <w:tr>
        <w:trPr>
          <w:trHeight w:val="709" w:hRule="atLeast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902" w:leader="none"/>
              </w:tabs>
              <w:spacing w:lineRule="auto" w:line="271"/>
              <w:ind w:left="0" w:right="19" w:hanging="0"/>
              <w:jc w:val="both"/>
              <w:rPr/>
            </w:pPr>
            <w:r>
              <w:rPr/>
              <w:t>Целевые индикаторы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uppressAutoHyphens w:val="true"/>
              <w:ind w:left="21" w:right="0" w:hanging="0"/>
              <w:jc w:val="both"/>
              <w:rPr/>
            </w:pPr>
            <w:r>
              <w:rPr/>
              <w:t>Рост востребованности населением услуг муниципальных учреждений культуры должно вырасти к 2021 году с 42% в 2016 году до 47% в общей численности населения.</w:t>
            </w:r>
          </w:p>
        </w:tc>
      </w:tr>
      <w:tr>
        <w:trPr>
          <w:trHeight w:val="425" w:hRule="atLeast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>Этапы и сроки реализации Подпрограммы 1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>2017 – 2021 годы</w:t>
            </w:r>
          </w:p>
          <w:p>
            <w:pPr>
              <w:pStyle w:val="Normal"/>
              <w:rPr/>
            </w:pPr>
            <w:r>
              <w:rPr/>
              <w:t>Этапы не предусмотрены</w:t>
            </w:r>
          </w:p>
        </w:tc>
      </w:tr>
      <w:tr>
        <w:trPr>
          <w:trHeight w:val="274" w:hRule="atLeast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Показатели результатов и эффективности Подпрограммы 1                        </w:t>
              <w:br/>
              <w:t xml:space="preserve"> 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350" w:leader="none"/>
              </w:tabs>
              <w:jc w:val="both"/>
              <w:rPr/>
            </w:pPr>
            <w:r>
              <w:rPr/>
              <w:t>1.Количество объектов воинских захоронений, расположенных на территории сельских поселений района, на которых проведены работы по ремонту - 5.</w:t>
            </w:r>
          </w:p>
          <w:p>
            <w:pPr>
              <w:pStyle w:val="Normal"/>
              <w:jc w:val="both"/>
              <w:rPr/>
            </w:pPr>
            <w:r>
              <w:rPr/>
              <w:t>2. Количество представленных (во всех формах) зрителю музейных предметов в общем количестве музейных предметов основного фонда.</w:t>
            </w:r>
          </w:p>
          <w:p>
            <w:pPr>
              <w:pStyle w:val="Normal"/>
              <w:tabs>
                <w:tab w:val="clear" w:pos="720"/>
                <w:tab w:val="left" w:pos="208" w:leader="none"/>
              </w:tabs>
              <w:jc w:val="both"/>
              <w:rPr/>
            </w:pPr>
            <w:r>
              <w:rPr/>
              <w:t>3.  Количество посетителей краеведческого центра.</w:t>
            </w:r>
          </w:p>
          <w:p>
            <w:pPr>
              <w:pStyle w:val="Normal"/>
              <w:jc w:val="both"/>
              <w:rPr/>
            </w:pPr>
            <w:r>
              <w:rPr/>
              <w:t>4.Количество экземпляров обновленного библиотечного фонда муниципальной библиотеки.</w:t>
            </w:r>
          </w:p>
          <w:p>
            <w:pPr>
              <w:pStyle w:val="Normal"/>
              <w:jc w:val="both"/>
              <w:rPr/>
            </w:pPr>
            <w:r>
              <w:rPr/>
              <w:t xml:space="preserve">5. Количество посещений муниципальной библиотеки. </w:t>
            </w:r>
          </w:p>
          <w:p>
            <w:pPr>
              <w:pStyle w:val="Normal"/>
              <w:tabs>
                <w:tab w:val="clear" w:pos="720"/>
                <w:tab w:val="left" w:pos="208" w:leader="none"/>
              </w:tabs>
              <w:jc w:val="both"/>
              <w:rPr/>
            </w:pPr>
            <w:r>
              <w:rPr/>
              <w:t>6. Количество рабочих мест в муниципальных учреждениях культуры с доступом к сети Интернет.</w:t>
            </w:r>
          </w:p>
          <w:p>
            <w:pPr>
              <w:pStyle w:val="Normal"/>
              <w:tabs>
                <w:tab w:val="clear" w:pos="720"/>
                <w:tab w:val="left" w:pos="208" w:leader="none"/>
              </w:tabs>
              <w:jc w:val="both"/>
              <w:rPr/>
            </w:pPr>
            <w:r>
              <w:rPr/>
              <w:t>7. Доля детей, привлекаемых к участию в творческих мероприятиях, в общем количестве детей.</w:t>
            </w:r>
          </w:p>
          <w:p>
            <w:pPr>
              <w:pStyle w:val="Normal"/>
              <w:tabs>
                <w:tab w:val="clear" w:pos="720"/>
                <w:tab w:val="left" w:pos="208" w:leader="none"/>
              </w:tabs>
              <w:jc w:val="both"/>
              <w:rPr/>
            </w:pPr>
            <w:r>
              <w:rPr/>
              <w:t>8. Доля победителей и призёров конкурсов, фестивалей, выставок различного статуса среди учащихся МБО ДО «ДШИ».</w:t>
            </w:r>
          </w:p>
          <w:p>
            <w:pPr>
              <w:pStyle w:val="Normal"/>
              <w:tabs>
                <w:tab w:val="clear" w:pos="720"/>
                <w:tab w:val="left" w:pos="208" w:leader="none"/>
              </w:tabs>
              <w:jc w:val="both"/>
              <w:rPr/>
            </w:pPr>
            <w:r>
              <w:rPr/>
              <w:t>9. Количество мероприятий, направленных на развитие культуры.</w:t>
            </w:r>
          </w:p>
          <w:p>
            <w:pPr>
              <w:pStyle w:val="Normal"/>
              <w:tabs>
                <w:tab w:val="clear" w:pos="720"/>
                <w:tab w:val="left" w:pos="208" w:leader="none"/>
              </w:tabs>
              <w:jc w:val="both"/>
              <w:rPr/>
            </w:pPr>
            <w:r>
              <w:rPr/>
              <w:t>10. Рост охвата населения, участвующих в культурно-досуговых мероприятиях.</w:t>
            </w:r>
          </w:p>
          <w:p>
            <w:pPr>
              <w:pStyle w:val="Normal"/>
              <w:tabs>
                <w:tab w:val="clear" w:pos="720"/>
                <w:tab w:val="left" w:pos="208" w:leader="none"/>
              </w:tabs>
              <w:jc w:val="both"/>
              <w:rPr/>
            </w:pPr>
            <w:r>
              <w:rPr/>
              <w:t>11. Мероприятия, направленные на оснащение материально-технической базы (программное обеспечение, компьютеры, экспозиционно-выставочное оборудование, текущий ремонт).</w:t>
            </w:r>
          </w:p>
          <w:p>
            <w:pPr>
              <w:pStyle w:val="Normal"/>
              <w:tabs>
                <w:tab w:val="clear" w:pos="720"/>
                <w:tab w:val="left" w:pos="208" w:leader="none"/>
              </w:tabs>
              <w:jc w:val="both"/>
              <w:rPr/>
            </w:pPr>
            <w:r>
              <w:rPr/>
              <w:t>12. Объём электронной базы муниципального архива.</w:t>
            </w:r>
          </w:p>
          <w:p>
            <w:pPr>
              <w:pStyle w:val="Normal"/>
              <w:tabs>
                <w:tab w:val="clear" w:pos="720"/>
                <w:tab w:val="left" w:pos="208" w:leader="none"/>
              </w:tabs>
              <w:jc w:val="both"/>
              <w:rPr/>
            </w:pPr>
            <w:r>
              <w:rPr/>
              <w:t>13. Количество экземпляров выпуска газеты «Призыв».</w:t>
            </w:r>
          </w:p>
        </w:tc>
      </w:tr>
      <w:tr>
        <w:trPr>
          <w:trHeight w:val="400" w:hRule="atLeast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>Объемы бюджетных ассигнований на реализацию Подпрограммы     1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902" w:leader="none"/>
              </w:tabs>
              <w:ind w:left="0" w:right="19" w:hanging="0"/>
              <w:jc w:val="both"/>
              <w:rPr/>
            </w:pPr>
            <w:r>
              <w:rPr/>
              <w:t xml:space="preserve">Общий объем финансирования </w:t>
            </w:r>
            <w:r>
              <w:rPr>
                <w:u w:val="single" w:color="FFFFFF"/>
              </w:rPr>
              <w:t>21 013,104</w:t>
            </w:r>
            <w:r>
              <w:rPr/>
              <w:t xml:space="preserve"> тыс. руб. за счет средств бюджета Лахденпохского муниципального района, в том числе: </w:t>
            </w:r>
          </w:p>
          <w:p>
            <w:pPr>
              <w:pStyle w:val="Normal"/>
              <w:rPr/>
            </w:pPr>
            <w:r>
              <w:rPr/>
              <w:t>2017 г. – 0 руб.;</w:t>
            </w:r>
          </w:p>
          <w:p>
            <w:pPr>
              <w:pStyle w:val="Normal"/>
              <w:rPr/>
            </w:pPr>
            <w:r>
              <w:rPr/>
              <w:t>2018 г. – 6712,27 тыс. руб.;</w:t>
            </w:r>
          </w:p>
          <w:p>
            <w:pPr>
              <w:pStyle w:val="Normal"/>
              <w:rPr/>
            </w:pPr>
            <w:r>
              <w:rPr/>
              <w:t>2019 г. – 5 900,443 тыс. руб.;</w:t>
            </w:r>
          </w:p>
          <w:p>
            <w:pPr>
              <w:pStyle w:val="Normal"/>
              <w:rPr/>
            </w:pPr>
            <w:r>
              <w:rPr/>
              <w:t>2020 г. – 4 242,026 тыс. руб.;</w:t>
            </w:r>
          </w:p>
          <w:p>
            <w:pPr>
              <w:pStyle w:val="Normal"/>
              <w:rPr/>
            </w:pPr>
            <w:r>
              <w:rPr/>
              <w:t>2021 г. – 4 158,365 тыс. руб.</w:t>
            </w:r>
          </w:p>
        </w:tc>
      </w:tr>
    </w:tbl>
    <w:p>
      <w:pPr>
        <w:pStyle w:val="Normal"/>
        <w:spacing w:lineRule="auto" w:line="276"/>
        <w:jc w:val="center"/>
        <w:rPr/>
      </w:pPr>
      <w:r>
        <w:rPr/>
      </w:r>
    </w:p>
    <w:p>
      <w:pPr>
        <w:pStyle w:val="Normal"/>
        <w:widowControl/>
        <w:overflowPunct w:val="true"/>
        <w:bidi w:val="0"/>
        <w:ind w:left="0" w:right="0" w:hanging="0"/>
        <w:jc w:val="center"/>
        <w:rPr>
          <w:b/>
          <w:b/>
        </w:rPr>
      </w:pPr>
      <w:r>
        <w:rPr>
          <w:b/>
        </w:rPr>
        <w:t>Характеристика сферы реализации Подпрограммы 1</w:t>
      </w:r>
    </w:p>
    <w:p>
      <w:pPr>
        <w:pStyle w:val="Normal"/>
        <w:ind w:left="0" w:right="0" w:firstLine="360"/>
        <w:jc w:val="both"/>
        <w:rPr/>
      </w:pPr>
      <w:r>
        <w:rPr/>
        <w:t>В условиях новой общественной системы кардинально изменилось отношение к культуре, получившей признание в качестве одного из важнейших факторов социально-экономического становления и гуманизации общества, творческой самореализации личности, организации духовной жизни народа. Осознана роль культуры в формировании образа жизни и определении качества жизни.</w:t>
      </w:r>
    </w:p>
    <w:p>
      <w:pPr>
        <w:pStyle w:val="Normal"/>
        <w:ind w:left="0" w:right="0" w:firstLine="357"/>
        <w:jc w:val="both"/>
        <w:rPr/>
      </w:pPr>
      <w:r>
        <w:rPr/>
        <w:t>Лахденпохский район обладает значительным культурным потенциалом, который вместе с тем до сих пор используется не в полной мере</w:t>
      </w:r>
      <w:r>
        <w:rPr>
          <w:rFonts w:eastAsia="Calibri" w:cs="Calibri" w:ascii="Calibri" w:hAnsi="Calibri"/>
          <w:sz w:val="28"/>
        </w:rPr>
        <w:t xml:space="preserve">.  </w:t>
      </w:r>
      <w:r>
        <w:rPr/>
        <w:t>Следует отметить, что в последние десятилетия удалось преодолеть спад в развитии культуры. На данный момент необходимо укреплять сеть существующих учреждений культуры и художественного образования района, поскольку именно они обеспечивают историческую преемственность поколений, сохранение, распространение и развитие региональной культуры и духовно-нравственных ценностей.</w:t>
      </w:r>
    </w:p>
    <w:p>
      <w:pPr>
        <w:pStyle w:val="Normal"/>
        <w:ind w:left="0" w:right="0" w:firstLine="357"/>
        <w:jc w:val="both"/>
        <w:rPr/>
      </w:pPr>
      <w:r>
        <w:rPr/>
        <w:t xml:space="preserve"> </w:t>
      </w:r>
      <w:r>
        <w:rPr/>
        <w:t xml:space="preserve">В формирование и развитие культурной среды, неотъемлемой частью является историко-культурное наследие. На территории Лахденпохского муниципального района в сельских поселениях находится 10 мест захоронения (памятников) советских воинов, погибших при защите Отечества. Законом РФ от 14.01.1993 г. № 4292-1 «Об увековечении памяти погибших при защите Отечества» определены полномочия органов местного самоуправления, осуществляющих работу по увековечению памяти погибших при защите Отечества. В соответствии со ст. 11 данного закона, органы местного самоуправления осуществляют мероприятия по содержанию в порядке и благоустройству воинских захоронений, увековечивающих память погибших при защите Отечества, которые находятся на их территориях. </w:t>
        <w:tab/>
      </w:r>
    </w:p>
    <w:p>
      <w:pPr>
        <w:pStyle w:val="Normal"/>
        <w:ind w:left="0" w:right="0" w:firstLine="502"/>
        <w:jc w:val="both"/>
        <w:rPr/>
      </w:pPr>
      <w:r>
        <w:rPr/>
        <w:t>Отрасль культуры объединяет деятельность по развитию библиотечного, музейного и архивного дела, поддержке и развитию образования в области искусств, сохранению культурного наследия и развитию традиционной народной культуры, укреплению межрегиональных связей в сфере культуры.</w:t>
      </w:r>
    </w:p>
    <w:p>
      <w:pPr>
        <w:pStyle w:val="Normal"/>
        <w:jc w:val="both"/>
        <w:rPr/>
      </w:pPr>
      <w:r>
        <w:rPr/>
        <w:t>Структура отрасли культуры Лахденпохского муниципального района на начало 2017 г.:</w:t>
      </w:r>
    </w:p>
    <w:p>
      <w:pPr>
        <w:pStyle w:val="Normal"/>
        <w:numPr>
          <w:ilvl w:val="0"/>
          <w:numId w:val="12"/>
        </w:numPr>
        <w:ind w:left="1068" w:right="0" w:hanging="360"/>
        <w:jc w:val="both"/>
        <w:rPr>
          <w:b/>
          <w:b/>
          <w:bCs/>
        </w:rPr>
      </w:pPr>
      <w:r>
        <w:rPr>
          <w:b/>
          <w:bCs/>
        </w:rPr>
        <w:t>Межпоселенческая библиотека – 1 ед.</w:t>
      </w:r>
    </w:p>
    <w:p>
      <w:pPr>
        <w:pStyle w:val="Normal"/>
        <w:ind w:left="0" w:right="0" w:firstLine="426"/>
        <w:jc w:val="both"/>
        <w:rPr/>
      </w:pPr>
      <w:r>
        <w:rPr/>
        <w:t>Значительную часть общенационального культурного наследия составляют фонды библиотек, которые являются ценнейшим информационным ресурсом области, включают большое количество книжных памятников, кроме, научной, культурно-исторической и информационной, имеют огромную материальную ценность.</w:t>
      </w:r>
    </w:p>
    <w:p>
      <w:pPr>
        <w:pStyle w:val="Normal"/>
        <w:ind w:left="0" w:right="0" w:firstLine="426"/>
        <w:jc w:val="both"/>
        <w:rPr/>
      </w:pPr>
      <w:r>
        <w:rPr/>
        <w:t>Основная задача библиотек - предоставление накопленных ресурсов в пользование обществу - как настоящему, так и будущим поколениям. Степень доступности библиотечного документа во многом определяется степенью его сохранности. Причем в обеспечении сохранности нуждаются не, только старые документы, в том числе книжные памятники, но и новейшие, например, на электронных носителях.</w:t>
      </w:r>
    </w:p>
    <w:p>
      <w:pPr>
        <w:pStyle w:val="Normal"/>
        <w:ind w:left="0" w:right="0" w:firstLine="426"/>
        <w:jc w:val="both"/>
        <w:rPr/>
      </w:pPr>
      <w:r>
        <w:rPr/>
        <w:t xml:space="preserve">15 октября 2015 года Советом Лахденпохского муниципального района принято Решение № 16/134-6 «О создании муниципального казённого учреждения культуры «Межпоселенческая библиотека Лахденпохского муниципального района». </w:t>
      </w:r>
    </w:p>
    <w:p>
      <w:pPr>
        <w:pStyle w:val="Normal"/>
        <w:ind w:left="0" w:right="0" w:firstLine="426"/>
        <w:jc w:val="both"/>
        <w:rPr/>
      </w:pPr>
      <w:r>
        <w:rPr/>
        <w:t xml:space="preserve">Межпоселенческая библиотека Лахденпохского муниципального  района выполняет важнейшие социальные и коммуникативные функции, является одним из базовых элементов культурной, образовательной и информационной инфраструктуры района. Основные услуги библиотеки бесплатны. </w:t>
      </w:r>
    </w:p>
    <w:p>
      <w:pPr>
        <w:pStyle w:val="Normal"/>
        <w:ind w:left="0" w:right="0" w:firstLine="360"/>
        <w:jc w:val="both"/>
        <w:rPr/>
      </w:pPr>
      <w:r>
        <w:rPr>
          <w:rFonts w:cs="Times New Roman"/>
          <w:sz w:val="24"/>
          <w:szCs w:val="24"/>
        </w:rPr>
        <w:t>На основании Постановления Администрации Лахденпохского муниципального района от 19.02.2018 г. № 75 «Об изменении типа муниципального казённого учреждения культуры «Межпоселенческая библиотека Лахденпохского муниципального района» библиотека стала бюджетной. К муниципальной услуге б</w:t>
      </w:r>
      <w:r>
        <w:rPr>
          <w:rFonts w:cs="Times New Roman"/>
          <w:b w:val="false"/>
          <w:bCs w:val="false"/>
          <w:sz w:val="24"/>
          <w:szCs w:val="24"/>
        </w:rPr>
        <w:t>иблиотечное, библиографическое и информационное обслуживание пользователей библиотеки добавилась услуга по осуществлению издательской деятельности.</w:t>
      </w:r>
    </w:p>
    <w:p>
      <w:pPr>
        <w:pStyle w:val="Normal"/>
        <w:numPr>
          <w:ilvl w:val="0"/>
          <w:numId w:val="14"/>
        </w:numPr>
        <w:jc w:val="both"/>
        <w:rPr>
          <w:rFonts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Архив — 1 ед.</w:t>
      </w:r>
    </w:p>
    <w:p>
      <w:pPr>
        <w:pStyle w:val="Normal"/>
        <w:spacing w:lineRule="auto" w:line="240"/>
        <w:ind w:left="0" w:right="0" w:firstLine="426"/>
        <w:jc w:val="both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4"/>
          <w:szCs w:val="24"/>
          <w:lang w:val="ru-RU"/>
        </w:rPr>
        <w:t>В Лахденпохском районе архивную отрасль представляет муниципальное казенное учреждение «Лахденпохский архив» ( МКУ «Лахденпохский архив»), который начал свое существование в районе с 1971 года.</w:t>
      </w:r>
      <w:r>
        <w:rPr>
          <w:sz w:val="24"/>
          <w:szCs w:val="24"/>
          <w:lang w:val="ru-RU"/>
        </w:rPr>
        <w:t xml:space="preserve"> </w:t>
      </w:r>
      <w:r>
        <w:rPr>
          <w:b w:val="false"/>
          <w:i w:val="false"/>
          <w:caps w:val="false"/>
          <w:smallCaps w:val="false"/>
          <w:color w:val="000000"/>
          <w:spacing w:val="0"/>
          <w:sz w:val="24"/>
          <w:szCs w:val="24"/>
          <w:lang w:val="ru-RU"/>
        </w:rPr>
        <w:t>В 1998 году райгосархив получил статус архивного отдела, а в 2003 – муниципальное учреждение.</w:t>
      </w:r>
      <w:r>
        <w:rPr>
          <w:sz w:val="24"/>
          <w:szCs w:val="24"/>
          <w:lang w:val="ru-RU"/>
        </w:rPr>
        <w:t xml:space="preserve"> </w:t>
      </w:r>
    </w:p>
    <w:p>
      <w:pPr>
        <w:pStyle w:val="Style18"/>
        <w:spacing w:lineRule="auto" w:line="240" w:before="0" w:after="0"/>
        <w:ind w:left="0" w:right="0" w:firstLine="426"/>
        <w:jc w:val="both"/>
        <w:rPr>
          <w:rFonts w:ascii="Times New Roman" w:hAnsi="Times New Roman"/>
          <w:sz w:val="28"/>
          <w:szCs w:val="24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4"/>
          <w:szCs w:val="24"/>
          <w:lang w:val="ru-RU"/>
        </w:rPr>
        <w:t xml:space="preserve">За последние годы благодаря поддержке Администрации Лахденпохского муниципального района, а также средствам от платных услуг значительно улучшена </w:t>
      </w:r>
      <w:r>
        <w:rPr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материально-техническая база архива: приобретены и установлены металлические стеллажи, двери, заменено освещение. Приобретены компьютерная и множительная техника, жалюзи, установлена пожарная сигнализация, обновлены средства связи.</w:t>
      </w:r>
    </w:p>
    <w:p>
      <w:pPr>
        <w:pStyle w:val="Normal"/>
        <w:ind w:left="0" w:right="0" w:firstLine="54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 целях создания оптимальных условий хранения документального наследия, реализации прав граждан на пользование ретроспективной архивной информацией, активизации использования архивных документов в научных, культурных и образовательных целях, необходимо уделять особое внимание модернизации архива с учетом действующего законодательства и современных тенденций, укреплению материально-технической базы учреждения.</w:t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4"/>
          <w:szCs w:val="24"/>
          <w:lang w:val="ru-RU"/>
        </w:rPr>
        <w:t>В архиве создан и обновляется банк данных фондов архивов организаций района. Ежегодно в пенсионные службы направляется информация о поступлении на хранение документов ликвидированных предприятий, а также о их местонахождении. Сегодня перед архивом стоят уже традиционные проблемы: нехватка площадей, недостаточный штат, низкая оплата труда сотрудников и др.</w:t>
      </w:r>
      <w:r>
        <w:rPr>
          <w:sz w:val="24"/>
          <w:szCs w:val="24"/>
          <w:lang w:val="ru-RU"/>
        </w:rPr>
        <w:t xml:space="preserve"> </w:t>
      </w:r>
    </w:p>
    <w:p>
      <w:pPr>
        <w:pStyle w:val="Normal"/>
        <w:numPr>
          <w:ilvl w:val="0"/>
          <w:numId w:val="11"/>
        </w:numPr>
        <w:ind w:left="1068" w:right="0" w:hanging="360"/>
        <w:jc w:val="both"/>
        <w:rPr>
          <w:b/>
          <w:b/>
          <w:bCs/>
        </w:rPr>
      </w:pPr>
      <w:r>
        <w:rPr>
          <w:b/>
          <w:bCs/>
        </w:rPr>
        <w:t>Краеведческий центр – 1 ед.</w:t>
      </w:r>
    </w:p>
    <w:p>
      <w:pPr>
        <w:pStyle w:val="Normal"/>
        <w:ind w:left="0" w:right="0" w:firstLine="540"/>
        <w:jc w:val="both"/>
        <w:rPr/>
      </w:pPr>
      <w:r>
        <w:rPr/>
        <w:t xml:space="preserve">Важнейшим институтом сохранения и развития историко-культурного наследия являются музеи, которые как институт культурной и научной жизни в последнее время претерпевают значительные изменения, связанные с общими тенденциями развития современного общества, новыми возможностями и перспективами, открывающимися перед ними. Большую работу в этом направлении проводит МБУК «Куркиёкский краеведческий центр». </w:t>
      </w:r>
      <w:r>
        <w:rPr>
          <w:highlight w:val="white"/>
        </w:rPr>
        <w:t xml:space="preserve">В задачи центра входит изучение Лахденпохского района, его истории и природы. Центр занимается научно-исследовательской и экспозиционно-выставочной работой, разработкой экскурсий и образовательных программ, проведением конференций и семинаров, изданием путеводителей, разработкой туристских маршрутов. Особое внимание уделяется изучению истории карельского народа и его материальной культуры на территории Лахденпохского района. Центр формирует в районе сеть малых музеев: музей лишайников, музей архитектора Ларса Сонка, музеи поселков Терваярви, Хийтола. </w:t>
      </w:r>
    </w:p>
    <w:p>
      <w:pPr>
        <w:pStyle w:val="Normal"/>
        <w:numPr>
          <w:ilvl w:val="0"/>
          <w:numId w:val="10"/>
        </w:numPr>
        <w:ind w:left="1068" w:right="0" w:hanging="360"/>
        <w:jc w:val="both"/>
        <w:rPr>
          <w:b/>
          <w:b/>
          <w:bCs/>
        </w:rPr>
      </w:pPr>
      <w:r>
        <w:rPr>
          <w:b/>
          <w:bCs/>
        </w:rPr>
        <w:t>Учреждения образования в сфере культуры – 1 ед.</w:t>
      </w:r>
    </w:p>
    <w:p>
      <w:pPr>
        <w:pStyle w:val="Normal"/>
        <w:ind w:left="0" w:right="0" w:firstLine="357"/>
        <w:jc w:val="both"/>
        <w:rPr/>
      </w:pPr>
      <w:r>
        <w:rPr/>
        <w:t>Основу системы образования в сфере культуры и искусства в районе одно учреждение дополнительного образования детей сферы культуры и искусства – МБУ ДО «Детская школа искусств».</w:t>
      </w:r>
      <w:r>
        <w:rPr>
          <w:rFonts w:eastAsia="Calibri" w:cs="Calibri" w:ascii="Calibri" w:hAnsi="Calibri"/>
          <w:sz w:val="26"/>
        </w:rPr>
        <w:t xml:space="preserve"> </w:t>
      </w:r>
      <w:r>
        <w:rPr/>
        <w:t>Задачей государственной политики становится сохранение и развитие сложившейся системы образовательных учреждений дополнительного образования детей в сфере культуры и искусства, при этом деятельность детских школ искусств должна быть ориентирована не только на эстетическое развитие подрастающего поколения, которым занимается МБО ДО «ЛЦДТ», но и на выявление в раннем возрасте творчески одаренных детей, их предпрофессиональную подготовку.</w:t>
      </w:r>
    </w:p>
    <w:p>
      <w:pPr>
        <w:pStyle w:val="Normal"/>
        <w:ind w:left="0" w:right="0" w:firstLine="357"/>
        <w:jc w:val="both"/>
        <w:rPr/>
      </w:pPr>
      <w:r>
        <w:rPr/>
        <w:t>Требуется переход к качественно новому уровню функционирования отрасли культуры, включая библиотечное, музейное дело, традиционную народную культуру, дополнительное образование в сфере культуры, а также значительному укреплению потенциала Лахденпохского муниципального района в сфере культуры.</w:t>
      </w:r>
    </w:p>
    <w:p>
      <w:pPr>
        <w:pStyle w:val="Normal"/>
        <w:ind w:left="0" w:right="0" w:firstLine="426"/>
        <w:jc w:val="both"/>
        <w:rPr/>
      </w:pPr>
      <w:r>
        <w:rPr/>
        <w:t xml:space="preserve">Неудовлетворительным остается состояние зданий и материально-технической оснащенности МКУК «Межпоселенческая библиотека Лахденпохского муниципального района». Не хватает компьютеров и   оргтехники. Для обеспечения равного </w:t>
      </w:r>
      <w:r>
        <w:rPr>
          <w:spacing w:val="-3"/>
        </w:rPr>
        <w:t xml:space="preserve"> доступа к социальной, образовательной </w:t>
      </w:r>
      <w:r>
        <w:rPr>
          <w:spacing w:val="-6"/>
        </w:rPr>
        <w:t xml:space="preserve">информации </w:t>
      </w:r>
      <w:r>
        <w:rPr/>
        <w:t xml:space="preserve"> населения района необходимо рост числа структурных подразделений межпоселенческой библиотеки, оснащённых современным оборудованием. Для этого требуется приобрести комплекты компьютерного оборудования, множительную технику. </w:t>
      </w:r>
      <w:r>
        <w:rPr>
          <w:highlight w:val="white"/>
        </w:rPr>
        <w:t>Требуется систематическое обновление имеющегося  компьютерного оборудования и приобретение  программных продуктов, что позволит развивать деятельность библиотек по созданию собственных информационных ресурсов, включая полнотекстовые, и интеграции в единое информационное поле района.</w:t>
      </w:r>
    </w:p>
    <w:p>
      <w:pPr>
        <w:pStyle w:val="Normal"/>
        <w:ind w:left="0" w:right="0" w:firstLine="357"/>
        <w:jc w:val="both"/>
        <w:rPr/>
      </w:pPr>
      <w:r>
        <w:rPr/>
        <w:t xml:space="preserve">Также необходимо укреплять материально-техническую базу МБУК «Куркиёкский краеведческий центр». Для реализации выставочных проектов не достаточно </w:t>
      </w:r>
      <w:r>
        <w:rPr>
          <w:highlight w:val="white"/>
        </w:rPr>
        <w:t>экспозиционно-выставочного оборудования.</w:t>
      </w:r>
    </w:p>
    <w:p>
      <w:pPr>
        <w:pStyle w:val="Normal"/>
        <w:ind w:left="0" w:right="0" w:firstLine="357"/>
        <w:jc w:val="both"/>
        <w:rPr/>
      </w:pPr>
      <w:r>
        <w:rPr/>
        <w:t>В последние годы происходит утрата не только отдельных объектов культурного наследия, но и их историко-культурной среды в целом. Поэтому необходимо поддерживать в удовлетворительном состоянии данные объекты, находящиеся на территории района.</w:t>
      </w:r>
    </w:p>
    <w:p>
      <w:pPr>
        <w:pStyle w:val="Normal"/>
        <w:ind w:left="0" w:right="0" w:firstLine="357"/>
        <w:jc w:val="both"/>
        <w:rPr/>
      </w:pPr>
      <w:r>
        <w:rPr/>
        <w:t>Модернизация сферы культуры должна коснуться всех направлений, начиная от кадровой политики и заканчивая укреплением материальной базы и реализацией новых творческих инициатив.</w:t>
      </w:r>
    </w:p>
    <w:p>
      <w:pPr>
        <w:pStyle w:val="Normal"/>
        <w:ind w:left="0" w:right="0" w:firstLine="357"/>
        <w:jc w:val="both"/>
        <w:rPr/>
      </w:pPr>
      <w:r>
        <w:rPr/>
        <w:t>Некоторые проблемы, возможно, решить в рамках данной подпрограммы: укрепление материально-технической базы, модернизация рабочих мест, развитие просветительской деятельности.</w:t>
      </w:r>
    </w:p>
    <w:p>
      <w:pPr>
        <w:pStyle w:val="Normal"/>
        <w:ind w:left="0" w:right="0" w:firstLine="357"/>
        <w:jc w:val="both"/>
        <w:rPr/>
      </w:pPr>
      <w:r>
        <w:rPr/>
      </w:r>
    </w:p>
    <w:p>
      <w:pPr>
        <w:pStyle w:val="Normal"/>
        <w:widowControl/>
        <w:tabs>
          <w:tab w:val="clear" w:pos="720"/>
          <w:tab w:val="left" w:pos="390" w:leader="none"/>
        </w:tabs>
        <w:overflowPunct w:val="true"/>
        <w:bidi w:val="0"/>
        <w:spacing w:lineRule="auto" w:line="276"/>
        <w:ind w:left="0" w:right="0" w:hanging="0"/>
        <w:jc w:val="center"/>
        <w:rPr>
          <w:b/>
          <w:b/>
        </w:rPr>
      </w:pPr>
      <w:r>
        <w:rPr>
          <w:b/>
        </w:rPr>
        <w:t>Цели и задача Подпрограммы 1.</w:t>
      </w:r>
    </w:p>
    <w:p>
      <w:pPr>
        <w:pStyle w:val="Normal"/>
        <w:jc w:val="both"/>
        <w:rPr/>
      </w:pPr>
      <w:r>
        <w:rPr>
          <w:b/>
          <w:bCs/>
        </w:rPr>
        <w:t xml:space="preserve">Цель: </w:t>
      </w:r>
      <w:r>
        <w:rPr>
          <w:b w:val="false"/>
          <w:bCs w:val="false"/>
        </w:rPr>
        <w:t>по</w:t>
      </w:r>
      <w:r>
        <w:rPr/>
        <w:t>вышение эффективности деятельности муниципальных учреждений культуры и сохранение культурного и исторического наследия.</w:t>
      </w:r>
    </w:p>
    <w:p>
      <w:pPr>
        <w:pStyle w:val="Normal"/>
        <w:spacing w:lineRule="auto" w:line="276"/>
        <w:rPr>
          <w:b/>
          <w:b/>
          <w:bCs/>
        </w:rPr>
      </w:pPr>
      <w:r>
        <w:rPr>
          <w:b/>
          <w:bCs/>
        </w:rPr>
        <w:t>Задачи:</w:t>
      </w:r>
    </w:p>
    <w:p>
      <w:pPr>
        <w:pStyle w:val="Normal"/>
        <w:jc w:val="both"/>
        <w:rPr/>
      </w:pPr>
      <w:r>
        <w:rPr>
          <w:b/>
        </w:rPr>
        <w:t>Задача 1</w:t>
      </w:r>
      <w:r>
        <w:rPr/>
        <w:t xml:space="preserve"> - сохранение культурного и исторического наследия и расширение доступа граждан к культурным ценностям и информации.</w:t>
      </w:r>
    </w:p>
    <w:p>
      <w:pPr>
        <w:pStyle w:val="Normal"/>
        <w:jc w:val="both"/>
        <w:rPr/>
      </w:pPr>
      <w:r>
        <w:rPr>
          <w:b/>
        </w:rPr>
        <w:t>Задача 2</w:t>
      </w:r>
      <w:r>
        <w:rPr/>
        <w:t xml:space="preserve"> - поддержка и развитие художественно-творческой деятельности и реализация творческого потенциала жителей района.</w:t>
      </w:r>
    </w:p>
    <w:p>
      <w:pPr>
        <w:pStyle w:val="Normal"/>
        <w:jc w:val="both"/>
        <w:rPr/>
      </w:pPr>
      <w:r>
        <w:rPr>
          <w:b/>
        </w:rPr>
        <w:t>Задача 3</w:t>
      </w:r>
      <w:r>
        <w:rPr/>
        <w:t xml:space="preserve"> - укрепление материально-технической базы муниципальных учреждений культуры.</w:t>
      </w:r>
    </w:p>
    <w:p>
      <w:pPr>
        <w:pStyle w:val="Normal"/>
        <w:jc w:val="both"/>
        <w:rPr>
          <w:b/>
          <w:b/>
        </w:rPr>
      </w:pPr>
      <w:r>
        <w:rPr>
          <w:b/>
        </w:rPr>
      </w:r>
    </w:p>
    <w:p>
      <w:pPr>
        <w:pStyle w:val="Normal"/>
        <w:widowControl/>
        <w:overflowPunct w:val="true"/>
        <w:bidi w:val="0"/>
        <w:ind w:left="0" w:right="0" w:hanging="0"/>
        <w:jc w:val="center"/>
        <w:rPr>
          <w:b/>
          <w:b/>
        </w:rPr>
      </w:pPr>
      <w:r>
        <w:rPr>
          <w:b/>
        </w:rPr>
        <w:t>Целевые индикаторы и показатели Подпрограммы – 1</w:t>
      </w:r>
    </w:p>
    <w:p>
      <w:pPr>
        <w:pStyle w:val="Normal"/>
        <w:ind w:left="0" w:right="0" w:firstLine="360"/>
        <w:jc w:val="both"/>
        <w:rPr/>
      </w:pPr>
      <w:r>
        <w:rPr/>
        <w:t>Достижение поставленной цели и задач Подпрограммы – 1 характеризуется следующим целевым показателем (индикатором):</w:t>
      </w:r>
    </w:p>
    <w:p>
      <w:pPr>
        <w:pStyle w:val="Normal"/>
        <w:suppressAutoHyphens w:val="true"/>
        <w:ind w:left="21" w:right="0" w:firstLine="339"/>
        <w:jc w:val="both"/>
        <w:rPr/>
      </w:pPr>
      <w:r>
        <w:rPr/>
        <w:t>Рост востребованности населением услуг муниципальных учреждений культуры должно вырасти к 2021 году с 42% в 2016 году до 47% в общей численности населения. Расчёт показателя: количество получателей услуги муниципальных учреждений культуры / общее количество населения ЛМР * 100 %. Показатель определяется в соответствии с отчётом руководителей учреждений.</w:t>
      </w:r>
    </w:p>
    <w:p>
      <w:pPr>
        <w:pStyle w:val="Normal"/>
        <w:suppressAutoHyphens w:val="true"/>
        <w:ind w:left="21" w:right="0" w:firstLine="339"/>
        <w:jc w:val="both"/>
        <w:rPr/>
      </w:pPr>
      <w:r>
        <w:rPr/>
      </w:r>
    </w:p>
    <w:p>
      <w:pPr>
        <w:pStyle w:val="Normal"/>
        <w:suppressAutoHyphens w:val="true"/>
        <w:ind w:left="21" w:right="0" w:hanging="21"/>
        <w:jc w:val="center"/>
        <w:rPr>
          <w:u w:val="single" w:color="FFFFFF"/>
        </w:rPr>
      </w:pPr>
      <w:r>
        <w:rPr>
          <w:u w:val="single" w:color="FFFFFF"/>
        </w:rPr>
      </w:r>
    </w:p>
    <w:p>
      <w:pPr>
        <w:pStyle w:val="Normal"/>
        <w:suppressAutoHyphens w:val="true"/>
        <w:ind w:left="21" w:right="0" w:hanging="21"/>
        <w:jc w:val="center"/>
        <w:rPr>
          <w:u w:val="single" w:color="FFFFFF"/>
        </w:rPr>
      </w:pPr>
      <w:r>
        <w:rPr>
          <w:u w:val="single" w:color="FFFFFF"/>
        </w:rPr>
      </w:r>
    </w:p>
    <w:p>
      <w:pPr>
        <w:pStyle w:val="Normal"/>
        <w:suppressAutoHyphens w:val="true"/>
        <w:ind w:left="21" w:right="0" w:hanging="21"/>
        <w:jc w:val="center"/>
        <w:rPr>
          <w:u w:val="single" w:color="FFFFFF"/>
        </w:rPr>
      </w:pPr>
      <w:r>
        <w:rPr>
          <w:u w:val="single" w:color="FFFFFF"/>
        </w:rPr>
      </w:r>
    </w:p>
    <w:p>
      <w:pPr>
        <w:pStyle w:val="Normal"/>
        <w:suppressAutoHyphens w:val="true"/>
        <w:ind w:left="21" w:right="0" w:hanging="21"/>
        <w:jc w:val="center"/>
        <w:rPr>
          <w:u w:val="single" w:color="FFFFFF"/>
        </w:rPr>
      </w:pPr>
      <w:r>
        <w:rPr>
          <w:b/>
          <w:bCs/>
          <w:u w:val="single" w:color="FFFFFF"/>
        </w:rPr>
        <w:t>Показателями результатов и эффективности Подпрограммы -1 являются:</w:t>
      </w:r>
    </w:p>
    <w:p>
      <w:pPr>
        <w:pStyle w:val="Normal"/>
        <w:tabs>
          <w:tab w:val="clear" w:pos="720"/>
          <w:tab w:val="left" w:pos="426" w:leader="none"/>
        </w:tabs>
        <w:suppressAutoHyphens w:val="true"/>
        <w:ind w:left="0" w:right="0" w:hanging="0"/>
        <w:jc w:val="both"/>
        <w:rPr/>
      </w:pPr>
      <w:r>
        <w:rPr/>
        <w:t xml:space="preserve">1. Количество объектов воинских захоронений, расположенных на территории сельских поселений района, на которых проведены работы по ремонту с нарастающим итогом – показатель определяется ежегодно в соответствии с отчётом рабочей группы по организации обследования воинских захоронений, расположенных на территории сельских поселений района. </w:t>
      </w:r>
    </w:p>
    <w:p>
      <w:pPr>
        <w:pStyle w:val="Normal"/>
        <w:tabs>
          <w:tab w:val="clear" w:pos="720"/>
          <w:tab w:val="left" w:pos="426" w:leader="none"/>
        </w:tabs>
        <w:ind w:left="0" w:right="0" w:hanging="0"/>
        <w:jc w:val="both"/>
        <w:rPr/>
      </w:pPr>
      <w:r>
        <w:rPr/>
        <w:t xml:space="preserve">2. Количество представленных (во всех формах) зрителю музейных предметов в общем количестве музейных предметов основного фонда – показатель определяется ежегодно на основании Плана мероприятий («дорожная карта») «Изменения в отраслях социальной сферы, направленные на повышение эффективности сферы культуры в Лахденпохском муниципальном районе». </w:t>
      </w:r>
    </w:p>
    <w:p>
      <w:pPr>
        <w:pStyle w:val="Normal"/>
        <w:tabs>
          <w:tab w:val="clear" w:pos="720"/>
          <w:tab w:val="left" w:pos="208" w:leader="none"/>
          <w:tab w:val="left" w:pos="426" w:leader="none"/>
        </w:tabs>
        <w:ind w:left="0" w:right="0" w:hanging="0"/>
        <w:jc w:val="both"/>
        <w:rPr/>
      </w:pPr>
      <w:r>
        <w:rPr/>
        <w:t xml:space="preserve">3. Количество посетителей краеведческого центра – показатель определяется ежегодно в соответствии с отчётом руководителей учреждений. </w:t>
      </w:r>
    </w:p>
    <w:p>
      <w:pPr>
        <w:pStyle w:val="Normal"/>
        <w:tabs>
          <w:tab w:val="clear" w:pos="720"/>
          <w:tab w:val="left" w:pos="426" w:leader="none"/>
        </w:tabs>
        <w:ind w:left="0" w:right="0" w:hanging="0"/>
        <w:jc w:val="both"/>
        <w:rPr/>
      </w:pPr>
      <w:r>
        <w:rPr/>
        <w:t xml:space="preserve">4. Количество обновленных экземпляров библиотечного фонда муниципальной библиотеки  - показатель определяется в соответствии с отчётом руководителя учреждения. </w:t>
      </w:r>
    </w:p>
    <w:p>
      <w:pPr>
        <w:pStyle w:val="Normal"/>
        <w:tabs>
          <w:tab w:val="clear" w:pos="720"/>
          <w:tab w:val="left" w:pos="426" w:leader="none"/>
        </w:tabs>
        <w:ind w:left="0" w:right="0" w:hanging="0"/>
        <w:jc w:val="both"/>
        <w:rPr/>
      </w:pPr>
      <w:r>
        <w:rPr/>
        <w:t xml:space="preserve">5. Количество посещений муниципальной библиотеки – показатель определяется в соответствии с отчётом руководителя. </w:t>
      </w:r>
    </w:p>
    <w:p>
      <w:pPr>
        <w:pStyle w:val="Normal"/>
        <w:tabs>
          <w:tab w:val="clear" w:pos="720"/>
          <w:tab w:val="left" w:pos="426" w:leader="none"/>
        </w:tabs>
        <w:ind w:left="0" w:right="0" w:hanging="0"/>
        <w:jc w:val="both"/>
        <w:rPr/>
      </w:pPr>
      <w:r>
        <w:rPr/>
        <w:t xml:space="preserve">6. Количество рабочих мест в муниципальных учреждениях культуры с доступом к сети Интернет – показатель определяется в соответствии с отчётом руководителей учреждений. </w:t>
      </w:r>
    </w:p>
    <w:p>
      <w:pPr>
        <w:pStyle w:val="Normal"/>
        <w:tabs>
          <w:tab w:val="clear" w:pos="720"/>
          <w:tab w:val="left" w:pos="426" w:leader="none"/>
        </w:tabs>
        <w:ind w:left="0" w:right="0" w:hanging="0"/>
        <w:jc w:val="both"/>
        <w:rPr/>
      </w:pPr>
      <w:r>
        <w:rPr/>
        <w:t>7. Доля детей, привлекаемых к участию в творческих мероприятиях, в общем количестве детей – показатель определяется на основании Плана мероприятий («дорожная карта») «Изменения в отраслях социальной сферы, направленные на повышение эффективности сферы культуры в Лахденпохском муниципальном районе». Расчёт показателя: количество детей, привлечённых в отчётном году для участия в мероприятиях / общее количество детей ЛМР от 6 лет до 18 лет * 100%.</w:t>
      </w:r>
    </w:p>
    <w:p>
      <w:pPr>
        <w:pStyle w:val="Normal"/>
        <w:tabs>
          <w:tab w:val="clear" w:pos="720"/>
          <w:tab w:val="left" w:pos="426" w:leader="none"/>
        </w:tabs>
        <w:ind w:left="0" w:right="0" w:hanging="0"/>
        <w:jc w:val="both"/>
        <w:rPr/>
      </w:pPr>
      <w:r>
        <w:rPr/>
        <w:t>8. Доля победителей и призёров конкурсов, фестивалей, выставок различного статуса среди учащихся детской школы искусств – показатель определяется в соответствии с отчётом руководителя учреждения. Расчёт показателя: количество победителей, призёров конкурсных мероприятий в отчётном году / общее количество обучающихся * 100%. Общее количество обучающихся на 01.09.2017 года 150 человек.</w:t>
      </w:r>
    </w:p>
    <w:p>
      <w:pPr>
        <w:pStyle w:val="Normal"/>
        <w:tabs>
          <w:tab w:val="clear" w:pos="720"/>
          <w:tab w:val="left" w:pos="426" w:leader="none"/>
        </w:tabs>
        <w:ind w:left="0" w:right="0" w:hanging="0"/>
        <w:jc w:val="both"/>
        <w:rPr/>
      </w:pPr>
      <w:r>
        <w:rPr/>
        <w:t xml:space="preserve">9. Количество мероприятий, направленных на развитие культуры – показатель определяется в соответствии с отчётом руководителей учреждений. </w:t>
      </w:r>
    </w:p>
    <w:p>
      <w:pPr>
        <w:pStyle w:val="Normal"/>
        <w:tabs>
          <w:tab w:val="clear" w:pos="720"/>
          <w:tab w:val="left" w:pos="426" w:leader="none"/>
        </w:tabs>
        <w:ind w:left="0" w:right="0" w:hanging="0"/>
        <w:jc w:val="both"/>
        <w:rPr/>
      </w:pPr>
      <w:r>
        <w:rPr/>
        <w:t xml:space="preserve">10. Рост охвата населения, участвующих в культурно-досуговых мероприятиях – показатель определяется в соответствии с отчётом руководителей учреждений. Расчёт показателя: количество населения, участвующих в мероприятиях / общее количество населения ЛМР * 100%. Общее количество населения ЛМР на 01.01.2017 года </w:t>
      </w:r>
      <w:r>
        <w:rPr>
          <w:sz w:val="22"/>
        </w:rPr>
        <w:t>13455 человек.</w:t>
      </w:r>
    </w:p>
    <w:p>
      <w:pPr>
        <w:pStyle w:val="Normal"/>
        <w:tabs>
          <w:tab w:val="clear" w:pos="720"/>
          <w:tab w:val="left" w:pos="426" w:leader="none"/>
        </w:tabs>
        <w:ind w:left="0" w:right="0" w:hanging="0"/>
        <w:jc w:val="both"/>
        <w:rPr/>
      </w:pPr>
      <w:r>
        <w:rPr/>
        <w:t>11. Мероприятия, направленные на оснащение материально-технической базы (программное обеспечение, компьютеры, экспозиционно-выставочное оборудование, текущий ремонт – показатель определяется в соответствии с отчётом руководителей учреждений.</w:t>
      </w:r>
    </w:p>
    <w:p>
      <w:pPr>
        <w:pStyle w:val="Normal"/>
        <w:tabs>
          <w:tab w:val="clear" w:pos="720"/>
          <w:tab w:val="left" w:pos="208" w:leader="none"/>
        </w:tabs>
        <w:jc w:val="both"/>
        <w:rPr/>
      </w:pPr>
      <w:r>
        <w:rPr/>
        <w:t>12.  Объём электронной базы муниципального архива — показатель определяется в соответствии с годовым отчётом руководителей учреждений в Национальный архив.</w:t>
      </w:r>
    </w:p>
    <w:p>
      <w:pPr>
        <w:pStyle w:val="Normal"/>
        <w:tabs>
          <w:tab w:val="clear" w:pos="720"/>
          <w:tab w:val="left" w:pos="208" w:leader="none"/>
        </w:tabs>
        <w:jc w:val="both"/>
        <w:rPr/>
      </w:pPr>
      <w:r>
        <w:rPr/>
        <w:t>13. Количество экземпляров выпуска газеты «Призыв» - показатель определяется в соответствии с отчётом по муниципальному заданию.</w:t>
      </w:r>
    </w:p>
    <w:p>
      <w:pPr>
        <w:pStyle w:val="Normal"/>
        <w:tabs>
          <w:tab w:val="clear" w:pos="720"/>
          <w:tab w:val="left" w:pos="208" w:leader="none"/>
        </w:tabs>
        <w:jc w:val="both"/>
        <w:rPr/>
      </w:pPr>
      <w:r>
        <w:rPr/>
      </w:r>
    </w:p>
    <w:p>
      <w:pPr>
        <w:pStyle w:val="Normal"/>
        <w:widowControl/>
        <w:tabs>
          <w:tab w:val="clear" w:pos="720"/>
          <w:tab w:val="left" w:pos="390" w:leader="none"/>
        </w:tabs>
        <w:overflowPunct w:val="true"/>
        <w:bidi w:val="0"/>
        <w:ind w:left="0" w:right="0" w:hanging="0"/>
        <w:jc w:val="center"/>
        <w:rPr>
          <w:b/>
          <w:b/>
        </w:rPr>
      </w:pPr>
      <w:r>
        <w:rPr>
          <w:b/>
        </w:rPr>
        <w:t>Объем финансовых ресурсов, необходимых для реализации  Подпрограммы 1.</w:t>
      </w:r>
    </w:p>
    <w:p>
      <w:pPr>
        <w:pStyle w:val="Normal"/>
        <w:widowControl/>
        <w:tabs>
          <w:tab w:val="clear" w:pos="720"/>
          <w:tab w:val="left" w:pos="390" w:leader="none"/>
        </w:tabs>
        <w:overflowPunct w:val="true"/>
        <w:bidi w:val="0"/>
        <w:ind w:left="0" w:right="0" w:hanging="0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both"/>
        <w:rPr/>
      </w:pPr>
      <w:r>
        <w:rPr/>
        <w:tab/>
        <w:t xml:space="preserve">Объем финансирования составит </w:t>
      </w:r>
      <w:r>
        <w:rPr>
          <w:u w:val="single" w:color="FFFFFF"/>
        </w:rPr>
        <w:t>21 013,104</w:t>
      </w:r>
      <w:r>
        <w:rPr/>
        <w:t xml:space="preserve"> тыс.руб., из которых: развитие музейного дела — 7 514,405 тыс.руб., реализация мероприятий, направленных на поддержку и развитие художественно-творческой деятельности — </w:t>
      </w:r>
      <w:r>
        <w:rPr>
          <w:u w:val="single" w:color="FFFFFF"/>
        </w:rPr>
        <w:t>59,22</w:t>
      </w:r>
      <w:r>
        <w:rPr/>
        <w:t xml:space="preserve"> тыс.руб., о</w:t>
      </w:r>
      <w:bookmarkStart w:id="3" w:name="__DdeLink__32066_1879673318"/>
      <w:r>
        <w:rPr>
          <w:highlight w:val="white"/>
        </w:rPr>
        <w:t>рганизация библиотечного обслуживания населения ЛМР</w:t>
      </w:r>
      <w:bookmarkEnd w:id="3"/>
      <w:r>
        <w:rPr/>
        <w:t xml:space="preserve"> – </w:t>
      </w:r>
      <w:r>
        <w:rPr>
          <w:u w:val="single" w:color="FFFFFF"/>
        </w:rPr>
        <w:t>10 033,307</w:t>
      </w:r>
      <w:r>
        <w:rPr/>
        <w:t xml:space="preserve"> тыс. руб.; осуществление издательской деятельности — 1 382,78 тыс. руб.; развитие архивного дела – 2 016,31 тыс. руб.; ремонт объектов воинских захоронений – </w:t>
      </w:r>
      <w:r>
        <w:rPr>
          <w:u w:val="single" w:color="FFFFFF"/>
        </w:rPr>
        <w:t>7,082</w:t>
      </w:r>
      <w:r>
        <w:rPr/>
        <w:t xml:space="preserve"> тыс.руб.</w:t>
      </w:r>
    </w:p>
    <w:p>
      <w:pPr>
        <w:pStyle w:val="Normal"/>
        <w:jc w:val="both"/>
        <w:rPr/>
      </w:pPr>
      <w:r>
        <w:rPr/>
      </w:r>
    </w:p>
    <w:p>
      <w:pPr>
        <w:pStyle w:val="Normal"/>
        <w:widowControl/>
        <w:overflowPunct w:val="true"/>
        <w:bidi w:val="0"/>
        <w:spacing w:lineRule="auto" w:line="276"/>
        <w:ind w:left="0" w:right="0" w:hanging="0"/>
        <w:jc w:val="center"/>
        <w:rPr/>
      </w:pPr>
      <w:r>
        <w:rPr>
          <w:b/>
        </w:rPr>
        <w:t>Обоснование потребностей в бюджетных ресурсах для достижения целей и результатов Подпрограммы 1.</w:t>
      </w:r>
      <w:r>
        <w:rPr>
          <w:highlight w:val="white"/>
        </w:rPr>
        <w:tab/>
      </w:r>
    </w:p>
    <w:tbl>
      <w:tblPr>
        <w:tblW w:w="957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352"/>
        <w:gridCol w:w="1266"/>
        <w:gridCol w:w="1272"/>
        <w:gridCol w:w="1273"/>
        <w:gridCol w:w="1273"/>
        <w:gridCol w:w="1134"/>
      </w:tblGrid>
      <w:tr>
        <w:trPr>
          <w:trHeight w:val="1" w:hRule="atLeast"/>
        </w:trPr>
        <w:tc>
          <w:tcPr>
            <w:tcW w:w="33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 xml:space="preserve">Наименование </w:t>
            </w:r>
          </w:p>
        </w:tc>
        <w:tc>
          <w:tcPr>
            <w:tcW w:w="62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Расходы (тыс.руб.)</w:t>
            </w:r>
          </w:p>
        </w:tc>
      </w:tr>
      <w:tr>
        <w:trPr>
          <w:trHeight w:val="1" w:hRule="atLeast"/>
        </w:trPr>
        <w:tc>
          <w:tcPr>
            <w:tcW w:w="33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2017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2018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2019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2021</w:t>
            </w:r>
          </w:p>
        </w:tc>
      </w:tr>
      <w:tr>
        <w:trPr>
          <w:trHeight w:val="1" w:hRule="atLeast"/>
        </w:trPr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0"/>
              <w:ind w:left="0" w:right="19" w:hanging="0"/>
              <w:jc w:val="both"/>
              <w:rPr/>
            </w:pPr>
            <w:bookmarkStart w:id="4" w:name="__DdeLink__14835_2712339567"/>
            <w:r>
              <w:rPr>
                <w:highlight w:val="white"/>
              </w:rPr>
              <w:t>Организация библиотечного обслуживания населения ЛМР</w:t>
            </w:r>
            <w:bookmarkEnd w:id="4"/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3509,307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2587,4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1965,96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1970,64</w:t>
            </w:r>
          </w:p>
        </w:tc>
      </w:tr>
      <w:tr>
        <w:trPr>
          <w:trHeight w:val="509" w:hRule="atLeast"/>
        </w:trPr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0"/>
              <w:ind w:left="0" w:right="19" w:hanging="0"/>
              <w:jc w:val="both"/>
              <w:rPr/>
            </w:pPr>
            <w:r>
              <w:rPr>
                <w:highlight w:val="white"/>
              </w:rPr>
              <w:t>Осуществление издательской деятельности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333,1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499,68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300,00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250,00</w:t>
            </w:r>
          </w:p>
        </w:tc>
      </w:tr>
      <w:tr>
        <w:trPr>
          <w:trHeight w:val="1" w:hRule="atLeast"/>
        </w:trPr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both"/>
              <w:rPr/>
            </w:pPr>
            <w:r>
              <w:rPr/>
              <w:t>Развитие музейного дела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2867,075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1948,0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1363,0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1336,33</w:t>
            </w:r>
          </w:p>
        </w:tc>
      </w:tr>
      <w:tr>
        <w:trPr>
          <w:trHeight w:val="1" w:hRule="atLeast"/>
        </w:trPr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both"/>
              <w:rPr/>
            </w:pPr>
            <w:r>
              <w:rPr/>
              <w:t>Развитие архивного дела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845,06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591,54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579,71</w:t>
            </w:r>
          </w:p>
        </w:tc>
      </w:tr>
      <w:tr>
        <w:trPr>
          <w:trHeight w:val="1" w:hRule="atLeast"/>
        </w:trPr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both"/>
              <w:rPr/>
            </w:pPr>
            <w:r>
              <w:rPr/>
              <w:t>Реализация мероприятий, направленных на поддержку и развитие художественно-творческой деятельности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18,82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20,2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20,2</w:t>
            </w:r>
          </w:p>
        </w:tc>
      </w:tr>
      <w:tr>
        <w:trPr>
          <w:trHeight w:val="1" w:hRule="atLeast"/>
        </w:trPr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both"/>
              <w:rPr/>
            </w:pPr>
            <w:r>
              <w:rPr/>
              <w:t xml:space="preserve">Выполнение работ по ремонту воинских захоронений, расположенных на территории сельских поселений района 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2,788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1,483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1,326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1,485</w:t>
            </w:r>
          </w:p>
        </w:tc>
      </w:tr>
      <w:tr>
        <w:trPr>
          <w:trHeight w:val="1" w:hRule="atLeast"/>
        </w:trPr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both"/>
              <w:rPr/>
            </w:pPr>
            <w:r>
              <w:rPr/>
              <w:t xml:space="preserve">                             </w:t>
            </w:r>
            <w:r>
              <w:rPr/>
              <w:t>ИТОГО: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>
                <w:b/>
              </w:rPr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>
                <w:b/>
              </w:rPr>
              <w:t>6712,27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>
                <w:b/>
              </w:rPr>
              <w:t>5900,443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>
                <w:b/>
              </w:rPr>
              <w:t>4242,026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>
                <w:b/>
              </w:rPr>
              <w:t>4158,365</w:t>
            </w:r>
          </w:p>
        </w:tc>
      </w:tr>
    </w:tbl>
    <w:p>
      <w:pPr>
        <w:pStyle w:val="Normal"/>
        <w:ind w:left="360" w:right="0" w:hanging="0"/>
        <w:jc w:val="center"/>
        <w:rPr>
          <w:b/>
          <w:b/>
        </w:rPr>
      </w:pPr>
      <w:r>
        <w:rPr>
          <w:b/>
        </w:rPr>
      </w:r>
    </w:p>
    <w:p>
      <w:pPr>
        <w:pStyle w:val="Normal"/>
        <w:ind w:left="360" w:right="0" w:hanging="0"/>
        <w:jc w:val="center"/>
        <w:rPr/>
      </w:pPr>
      <w:r>
        <w:rPr>
          <w:b/>
        </w:rPr>
        <w:t>Обеспечение контроля над реализацией Подпрограммы 1</w:t>
      </w:r>
    </w:p>
    <w:p>
      <w:pPr>
        <w:pStyle w:val="Normal"/>
        <w:tabs>
          <w:tab w:val="clear" w:pos="720"/>
          <w:tab w:val="left" w:pos="902" w:leader="none"/>
        </w:tabs>
        <w:spacing w:lineRule="auto" w:line="271"/>
        <w:ind w:left="5" w:right="19" w:firstLine="538"/>
        <w:jc w:val="both"/>
        <w:rPr>
          <w:highlight w:val="white"/>
        </w:rPr>
      </w:pPr>
      <w:r>
        <w:rPr>
          <w:highlight w:val="white"/>
        </w:rPr>
        <w:t xml:space="preserve">Отдел социальной работы Администрации Лахденпохского муниципального района обеспечивает реализацию мероприятий Подпрограммы 1 в соответствии с утвержденным объемом финансирования и осуществляет контроль за целевым использованием путем: </w:t>
      </w:r>
    </w:p>
    <w:p>
      <w:pPr>
        <w:pStyle w:val="Normal"/>
        <w:tabs>
          <w:tab w:val="clear" w:pos="720"/>
          <w:tab w:val="left" w:pos="902" w:leader="none"/>
        </w:tabs>
        <w:spacing w:lineRule="auto" w:line="271"/>
        <w:ind w:left="5" w:right="19" w:firstLine="538"/>
        <w:jc w:val="both"/>
        <w:rPr>
          <w:highlight w:val="white"/>
        </w:rPr>
      </w:pPr>
      <w:r>
        <w:rPr>
          <w:highlight w:val="white"/>
        </w:rPr>
        <w:t>- подготовки отчета о ходе исполнения настоящей Подпрограммы 1 в первом квартале 2018, 2019, 2020, 2021, 2022 годов.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t>ПАСПОРТ</w:t>
      </w:r>
    </w:p>
    <w:p>
      <w:pPr>
        <w:pStyle w:val="Normal"/>
        <w:jc w:val="center"/>
        <w:rPr/>
      </w:pPr>
      <w:r>
        <w:rPr/>
        <w:t>муниципальной подпрограммы</w:t>
      </w:r>
    </w:p>
    <w:p>
      <w:pPr>
        <w:pStyle w:val="Normal"/>
        <w:jc w:val="center"/>
        <w:rPr/>
      </w:pPr>
      <w:r>
        <w:rPr/>
        <w:t xml:space="preserve"> </w:t>
      </w:r>
      <w:r>
        <w:rPr/>
        <w:t xml:space="preserve">«Комплексные мероприятия в области работы с молодёжью» </w:t>
      </w:r>
    </w:p>
    <w:p>
      <w:pPr>
        <w:pStyle w:val="Normal"/>
        <w:jc w:val="center"/>
        <w:rPr/>
      </w:pPr>
      <w:r>
        <w:rPr/>
      </w:r>
    </w:p>
    <w:tbl>
      <w:tblPr>
        <w:tblW w:w="943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69" w:type="dxa"/>
          <w:bottom w:w="0" w:type="dxa"/>
          <w:right w:w="74" w:type="dxa"/>
        </w:tblCellMar>
      </w:tblPr>
      <w:tblGrid>
        <w:gridCol w:w="3331"/>
        <w:gridCol w:w="6099"/>
      </w:tblGrid>
      <w:tr>
        <w:trPr>
          <w:trHeight w:val="1" w:hRule="atLeast"/>
        </w:trPr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rPr/>
            </w:pPr>
            <w:r>
              <w:rPr/>
              <w:t xml:space="preserve">Наименование муниципальной подпрограммы         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Муниципальная подпрограмма «Комплексные мероприятия в области работы с молодёжью»</w:t>
            </w:r>
            <w:r>
              <w:rPr>
                <w:rFonts w:eastAsia="Calibri" w:cs="Calibri" w:ascii="Calibri" w:hAnsi="Calibri"/>
                <w:sz w:val="22"/>
              </w:rPr>
              <w:t xml:space="preserve"> </w:t>
            </w:r>
            <w:r>
              <w:rPr/>
              <w:t>(далее – Подпрограмма – 2).</w:t>
            </w:r>
          </w:p>
        </w:tc>
      </w:tr>
      <w:tr>
        <w:trPr>
          <w:trHeight w:val="600" w:hRule="atLeast"/>
        </w:trPr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rPr/>
            </w:pPr>
            <w:r>
              <w:rPr/>
              <w:t xml:space="preserve">Ответственный исполнитель и разработчик Подпрограммы -2           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Отдел социальной работы Администрации Лахденпохского муниципального района</w:t>
            </w:r>
          </w:p>
        </w:tc>
      </w:tr>
      <w:tr>
        <w:trPr>
          <w:trHeight w:val="497" w:hRule="atLeast"/>
        </w:trPr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Соисполнитель Подпрограммы – 2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МУ «РУО и ДМ»</w:t>
            </w:r>
          </w:p>
        </w:tc>
      </w:tr>
      <w:tr>
        <w:trPr>
          <w:trHeight w:val="296" w:hRule="atLeast"/>
        </w:trPr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 xml:space="preserve">Участники Подпрограммы -2           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>МБО ДО «ЛЦДТ»</w:t>
            </w:r>
          </w:p>
          <w:p>
            <w:pPr>
              <w:pStyle w:val="Normal"/>
              <w:jc w:val="both"/>
              <w:rPr/>
            </w:pPr>
            <w:r>
              <w:rPr/>
              <w:t>МКОУ «ЛСОШ»</w:t>
            </w:r>
          </w:p>
        </w:tc>
      </w:tr>
      <w:tr>
        <w:trPr>
          <w:trHeight w:val="600" w:hRule="atLeast"/>
        </w:trPr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rPr/>
            </w:pPr>
            <w:r>
              <w:rPr/>
              <w:t xml:space="preserve">Цель Подпрограммы -2                 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>Развитие активности  молодежи в общественной жизни   Лахденпохского муниципального района</w:t>
            </w:r>
            <w:r>
              <w:rPr>
                <w:sz w:val="22"/>
              </w:rPr>
              <w:t>.</w:t>
            </w:r>
          </w:p>
        </w:tc>
      </w:tr>
      <w:tr>
        <w:trPr>
          <w:trHeight w:val="1692" w:hRule="atLeast"/>
        </w:trPr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rPr/>
            </w:pPr>
            <w:r>
              <w:rPr/>
              <w:t xml:space="preserve">Задачи Подпрограммы -2                 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2"/>
              </w:rPr>
              <w:t>Задача 1 –</w:t>
            </w:r>
            <w:r>
              <w:rPr>
                <w:sz w:val="22"/>
              </w:rPr>
              <w:t xml:space="preserve"> </w:t>
            </w:r>
            <w:r>
              <w:rPr/>
              <w:t>создание условий для успешной социализации и эффективной самореализации молодежи Лахденпохского муниципального района, развитие потенциала молодежи в интересах социально-экономического развития района.</w:t>
            </w:r>
          </w:p>
          <w:p>
            <w:pPr>
              <w:pStyle w:val="Normal"/>
              <w:jc w:val="both"/>
              <w:rPr/>
            </w:pPr>
            <w:r>
              <w:rPr>
                <w:b/>
              </w:rPr>
              <w:t>Задача 2 –</w:t>
            </w:r>
            <w:r>
              <w:rPr/>
              <w:t xml:space="preserve"> создание условий для совершенствования системы патриотического воспитания и допризывной подготовки молодежи, направленной на духовно-нравственное воспитание личности.</w:t>
            </w:r>
          </w:p>
        </w:tc>
      </w:tr>
      <w:tr>
        <w:trPr>
          <w:trHeight w:val="1" w:hRule="atLeast"/>
        </w:trPr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Целевые индикаторы Подпрограммы -2                 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33" w:leader="none"/>
              </w:tabs>
              <w:jc w:val="both"/>
              <w:rPr/>
            </w:pPr>
            <w:r>
              <w:rPr/>
              <w:t>Увеличение доли молодежи Лахденпохского муниципального района в возрасте от 14 до 30 лет, участвующей в мероприятиях программы, в общей численности молодежи.</w:t>
            </w:r>
          </w:p>
        </w:tc>
      </w:tr>
      <w:tr>
        <w:trPr>
          <w:trHeight w:val="543" w:hRule="atLeast"/>
        </w:trPr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jc w:val="both"/>
              <w:rPr/>
            </w:pPr>
            <w:r>
              <w:rPr/>
              <w:t xml:space="preserve">Этапы и сроки реализации Подпрограммы -2                 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2017 год –  2021 год Этапы не предусмотрены</w:t>
            </w:r>
          </w:p>
        </w:tc>
      </w:tr>
      <w:tr>
        <w:trPr>
          <w:trHeight w:val="273" w:hRule="atLeast"/>
        </w:trPr>
        <w:tc>
          <w:tcPr>
            <w:tcW w:w="333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Показатели результатов и эффективности Подпрограммы -2                 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26" w:leader="none"/>
                <w:tab w:val="center" w:pos="4677" w:leader="none"/>
              </w:tabs>
              <w:jc w:val="both"/>
              <w:rPr/>
            </w:pPr>
            <w:r>
              <w:rPr/>
              <w:t>1.Доля молодежи Лахденпохского муниципального района в возрасте от 14 до 30 лет, участвующей в мероприятиях программы, посвященных укреплению института семьи.</w:t>
            </w:r>
          </w:p>
          <w:p>
            <w:pPr>
              <w:pStyle w:val="Normal"/>
              <w:tabs>
                <w:tab w:val="clear" w:pos="720"/>
                <w:tab w:val="left" w:pos="726" w:leader="none"/>
                <w:tab w:val="center" w:pos="4677" w:leader="none"/>
              </w:tabs>
              <w:jc w:val="both"/>
              <w:rPr/>
            </w:pPr>
            <w:r>
              <w:rPr/>
              <w:t>2. Доля молодежи Лахденпохского муниципального района в возрасте от 14 до 30 лет, участвующей в мероприятиях программы, направленных на социальную активность и самостоятельность молодежи.</w:t>
            </w:r>
          </w:p>
          <w:p>
            <w:pPr>
              <w:pStyle w:val="Normal"/>
              <w:tabs>
                <w:tab w:val="clear" w:pos="720"/>
                <w:tab w:val="left" w:pos="726" w:leader="none"/>
                <w:tab w:val="center" w:pos="4677" w:leader="none"/>
              </w:tabs>
              <w:jc w:val="both"/>
              <w:rPr/>
            </w:pPr>
            <w:r>
              <w:rPr/>
              <w:t>3. Доля молодежи Лахденпохского муниципального района в возрасте от 14 до 30 лет, участвующей в мероприятиях программы, направленных на разностороннее развитие молодых людей, их творческих способностей, самореализации личности, формирование здорового образа жизни.</w:t>
            </w:r>
          </w:p>
          <w:p>
            <w:pPr>
              <w:pStyle w:val="Normal"/>
              <w:tabs>
                <w:tab w:val="clear" w:pos="720"/>
                <w:tab w:val="left" w:pos="726" w:leader="none"/>
                <w:tab w:val="center" w:pos="4677" w:leader="none"/>
              </w:tabs>
              <w:jc w:val="both"/>
              <w:rPr/>
            </w:pPr>
            <w:r>
              <w:rPr/>
              <w:t>4.Число мероприятий духовно-нравственной направленности для молодых граждан Лахденпохского муниципального района.</w:t>
            </w:r>
          </w:p>
          <w:p>
            <w:pPr>
              <w:pStyle w:val="Normal"/>
              <w:tabs>
                <w:tab w:val="clear" w:pos="720"/>
                <w:tab w:val="left" w:pos="726" w:leader="none"/>
                <w:tab w:val="center" w:pos="4677" w:leader="none"/>
              </w:tabs>
              <w:jc w:val="both"/>
              <w:rPr/>
            </w:pPr>
            <w:r>
              <w:rPr/>
              <w:t>5. Доля молодых граждан, вовлеченных в  мероприятия  по  патриотическому  воспитанию.</w:t>
            </w:r>
          </w:p>
        </w:tc>
      </w:tr>
      <w:tr>
        <w:trPr>
          <w:trHeight w:val="400" w:hRule="atLeast"/>
        </w:trPr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>Финансовое обеспечение Подпрограммы -2                  с указанием источников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902" w:leader="none"/>
              </w:tabs>
              <w:ind w:left="0" w:right="19" w:hanging="0"/>
              <w:jc w:val="both"/>
              <w:rPr/>
            </w:pPr>
            <w:r>
              <w:rPr/>
              <w:t xml:space="preserve">Общий объем финансирования Подпрограммы – </w:t>
            </w:r>
            <w:r>
              <w:rPr>
                <w:highlight w:val="white"/>
              </w:rPr>
              <w:t>678</w:t>
            </w:r>
            <w:r>
              <w:rPr>
                <w:highlight w:val="white"/>
                <w:u w:val="single" w:color="FFFFFF"/>
              </w:rPr>
              <w:t>,43</w:t>
            </w:r>
            <w:r>
              <w:rPr/>
              <w:t xml:space="preserve"> тыс. руб. за счет средств бюджета Лахденпохского муниципального района, в том числе: </w:t>
            </w:r>
          </w:p>
          <w:p>
            <w:pPr>
              <w:pStyle w:val="Normal"/>
              <w:rPr/>
            </w:pPr>
            <w:r>
              <w:rPr/>
              <w:t>2017 г. –  0 тыс. руб.;</w:t>
            </w:r>
          </w:p>
          <w:p>
            <w:pPr>
              <w:pStyle w:val="Normal"/>
              <w:rPr/>
            </w:pPr>
            <w:r>
              <w:rPr/>
              <w:t>2018 г. –  47 тыс. руб.;</w:t>
            </w:r>
          </w:p>
          <w:p>
            <w:pPr>
              <w:pStyle w:val="Normal"/>
              <w:rPr/>
            </w:pPr>
            <w:r>
              <w:rPr/>
              <w:t>2019 г. –  242 тыс. руб.;</w:t>
            </w:r>
          </w:p>
          <w:p>
            <w:pPr>
              <w:pStyle w:val="Normal"/>
              <w:rPr/>
            </w:pPr>
            <w:r>
              <w:rPr/>
              <w:t>2020 г. –  193,3 тыс. руб.;</w:t>
            </w:r>
          </w:p>
          <w:p>
            <w:pPr>
              <w:pStyle w:val="Normal"/>
              <w:rPr/>
            </w:pPr>
            <w:r>
              <w:rPr/>
              <w:t>2021 г. –  196,13 тыс. руб.</w:t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numPr>
          <w:ilvl w:val="0"/>
          <w:numId w:val="0"/>
        </w:numPr>
        <w:ind w:left="360" w:right="0" w:hanging="0"/>
        <w:jc w:val="center"/>
        <w:rPr>
          <w:b/>
          <w:b/>
        </w:rPr>
      </w:pPr>
      <w:r>
        <w:rPr>
          <w:b/>
        </w:rPr>
        <w:t>Характеристика сферы реализации Подпрограммы 2</w:t>
      </w:r>
    </w:p>
    <w:p>
      <w:pPr>
        <w:pStyle w:val="Normal"/>
        <w:jc w:val="both"/>
        <w:rPr>
          <w:b/>
          <w:b/>
        </w:rPr>
      </w:pPr>
      <w:r>
        <w:rPr>
          <w:b/>
        </w:rPr>
      </w:r>
    </w:p>
    <w:p>
      <w:pPr>
        <w:pStyle w:val="Normal"/>
        <w:ind w:left="0" w:right="0" w:firstLine="567"/>
        <w:jc w:val="both"/>
        <w:rPr/>
      </w:pPr>
      <w:r>
        <w:rPr/>
        <w:t xml:space="preserve">В 2014-2016 гг.г. на территории района реализовывалась муниципальная целевая программа «Молодежь Лахденпохского района», целью которой являлось развитие системы реализации проектов, финансовой поддержки проектной деятельности, развитие и реализация потенциала молодежи. За 2014 – I полугодие 2016 года реализовано 55 молодежных проектов на сумму 519 149,10 рублей. </w:t>
      </w:r>
    </w:p>
    <w:p>
      <w:pPr>
        <w:pStyle w:val="Normal"/>
        <w:ind w:left="0" w:right="0" w:firstLine="567"/>
        <w:jc w:val="both"/>
        <w:rPr/>
      </w:pPr>
      <w:r>
        <w:rPr/>
        <w:t>Мероприятия, ставшими традиционными в ходе реализации Программы: участие молодежи в республиканском форуме «Молодежь в действии», проведение школьных новогодних балов для обучающихся общеобразовательных организаций, организация и проведение районной военно-спортивной игры «Победа», участие молодежи в праздновании Дня Победы, проведение Дня молодежи, организация и проведение торжественных проводов в армию призывников района. Актуальны молодежные проекты: молодежный квест «Чем живешь, молодежь?» - ориентирование на местности с выполнением заданий туристической тематики, проведение церемонии награждения молодых граждан, достигших особых успехов в трудовой, творческой, социальной деятельности.</w:t>
      </w:r>
    </w:p>
    <w:p>
      <w:pPr>
        <w:pStyle w:val="Normal"/>
        <w:ind w:left="0" w:right="141" w:firstLine="567"/>
        <w:jc w:val="both"/>
        <w:rPr/>
      </w:pPr>
      <w:r>
        <w:rPr/>
        <w:t xml:space="preserve">Приоритетными в рамках реализации данной Подпрограммы выделены следующие направления: </w:t>
      </w:r>
    </w:p>
    <w:p>
      <w:pPr>
        <w:pStyle w:val="Normal"/>
        <w:ind w:left="0" w:right="141" w:firstLine="567"/>
        <w:jc w:val="both"/>
        <w:rPr/>
      </w:pPr>
      <w:r>
        <w:rPr>
          <w:rFonts w:eastAsia="Calibri" w:cs="Calibri" w:ascii="Calibri" w:hAnsi="Calibri"/>
          <w:sz w:val="26"/>
        </w:rPr>
        <w:t xml:space="preserve">- </w:t>
      </w:r>
      <w:r>
        <w:rPr/>
        <w:t>вовлечение молодежи района в деятельность молодежных общественных организаций, органов молодежного самоуправления, в работу Республиканского молодежного Парламента;</w:t>
      </w:r>
    </w:p>
    <w:p>
      <w:pPr>
        <w:pStyle w:val="Normal"/>
        <w:ind w:left="0" w:right="141" w:firstLine="567"/>
        <w:jc w:val="both"/>
        <w:rPr/>
      </w:pPr>
      <w:r>
        <w:rPr/>
        <w:t>- создание условий для духовно-нравственного, физического развития, инициативы и творчества молодежи. Это поддержка общественных инициатив, участие молодёжи района в различного уровнях проектах от муниципальных до международных;</w:t>
      </w:r>
    </w:p>
    <w:p>
      <w:pPr>
        <w:pStyle w:val="Normal"/>
        <w:ind w:left="0" w:right="141" w:firstLine="567"/>
        <w:jc w:val="both"/>
        <w:rPr/>
      </w:pPr>
      <w:r>
        <w:rPr/>
        <w:t xml:space="preserve">- реализация мероприятий, направленных на патриотическое воспитание </w:t>
      </w:r>
      <w:r>
        <w:rPr>
          <w:sz w:val="22"/>
        </w:rPr>
        <w:t>молодых граждан;</w:t>
      </w:r>
    </w:p>
    <w:p>
      <w:pPr>
        <w:pStyle w:val="Normal"/>
        <w:ind w:left="0" w:right="141" w:firstLine="567"/>
        <w:jc w:val="both"/>
        <w:rPr/>
      </w:pPr>
      <w:r>
        <w:rPr>
          <w:b/>
        </w:rPr>
        <w:t xml:space="preserve">- </w:t>
      </w:r>
      <w:r>
        <w:rPr/>
        <w:t>содействие профессиональной ориентации, формированию жизненных планов, карьерных устремлений молодежи. Это конкурсы проектов, направленных на формирование трудовых навыков, на поддержку молодых специалистов, церемония награждения молодых граждан, достигших особых успехов в трудовой, творческой, социальной деятельности;</w:t>
      </w:r>
    </w:p>
    <w:p>
      <w:pPr>
        <w:pStyle w:val="Normal"/>
        <w:ind w:left="0" w:right="0" w:firstLine="567"/>
        <w:jc w:val="both"/>
        <w:rPr/>
      </w:pPr>
      <w:r>
        <w:rPr/>
        <w:t>- реализация мероприятий для молодых граждан с ограниченными возможностями здоровья и инвалидов;</w:t>
      </w:r>
    </w:p>
    <w:p>
      <w:pPr>
        <w:pStyle w:val="Normal"/>
        <w:tabs>
          <w:tab w:val="clear" w:pos="720"/>
          <w:tab w:val="left" w:pos="709" w:leader="none"/>
        </w:tabs>
        <w:ind w:left="0" w:right="0" w:firstLine="567"/>
        <w:jc w:val="both"/>
        <w:rPr/>
      </w:pPr>
      <w:r>
        <w:rPr/>
        <w:t xml:space="preserve">- реализация </w:t>
      </w:r>
      <w:r>
        <w:rPr>
          <w:highlight w:val="white"/>
        </w:rPr>
        <w:t>мероприятий, направленных на укрепление социального статуса семьи, семейных ценностей и традиций.</w:t>
      </w:r>
    </w:p>
    <w:p>
      <w:pPr>
        <w:pStyle w:val="Normal"/>
        <w:ind w:left="0" w:right="0" w:firstLine="567"/>
        <w:jc w:val="both"/>
        <w:rPr/>
      </w:pPr>
      <w:r>
        <w:rPr/>
        <w:t xml:space="preserve">В целях содействия развитию талантливой молодежи, развития спортивных навыков и организации досуга в районе осуществляют деятельность пять культурно – досуговых центров. В городе работают четыре учреждения дополнительного образования. На базе физкультурно-оздоровительного комплекса им. Чуйкина, детско-юношеской спортивной школы и общеобразовательных учреждений работают различные спортивные секции. </w:t>
      </w:r>
    </w:p>
    <w:p>
      <w:pPr>
        <w:pStyle w:val="Normal"/>
        <w:ind w:left="0" w:right="0" w:firstLine="567"/>
        <w:jc w:val="both"/>
        <w:rPr/>
      </w:pPr>
      <w:r>
        <w:rPr/>
        <w:t>Значительную роль в воспитании и социализации молодежи играют общественные молодежные  и  детские  организации  и  объединения.  В  районе  осуществляют свою деятельность молодежные организации:</w:t>
      </w:r>
    </w:p>
    <w:p>
      <w:pPr>
        <w:pStyle w:val="Normal"/>
        <w:jc w:val="both"/>
        <w:rPr/>
      </w:pPr>
      <w:r>
        <w:rPr/>
        <w:t xml:space="preserve">1.   Местная молодежная общественная организация Лахденпохского района «Когорта молодых». </w:t>
      </w:r>
    </w:p>
    <w:p>
      <w:pPr>
        <w:pStyle w:val="Normal"/>
        <w:jc w:val="both"/>
        <w:rPr/>
      </w:pPr>
      <w:r>
        <w:rPr/>
        <w:t xml:space="preserve">2.  Некоммерческое партнерство «Молодежный спортивный клуб «Витязь». </w:t>
      </w:r>
    </w:p>
    <w:p>
      <w:pPr>
        <w:pStyle w:val="Normal"/>
        <w:ind w:left="0" w:right="0" w:firstLine="567"/>
        <w:jc w:val="both"/>
        <w:rPr/>
      </w:pPr>
      <w:r>
        <w:rPr/>
        <w:t xml:space="preserve">Силами молодежных организаций  реализуется ряд  мероприятий,  направленных  на  развитие  потенциала  молодых  людей,  поддержку  их инициатив.  </w:t>
      </w:r>
    </w:p>
    <w:p>
      <w:pPr>
        <w:pStyle w:val="Normal"/>
        <w:ind w:left="0" w:right="0" w:firstLine="567"/>
        <w:jc w:val="both"/>
        <w:rPr/>
      </w:pPr>
      <w:r>
        <w:rPr/>
        <w:t>В  рамках  развития  волонтерского  движения  волонтеры г. Лахденпохья принимали активное участие в экологической акции «Чистый берег», в мероприятиях для молодых семей, посвященных «Международному Дню семьи», участвовали в организации и проведении праздников, посвященных «Дню молодежи», а также Дню Победы.</w:t>
      </w:r>
    </w:p>
    <w:p>
      <w:pPr>
        <w:pStyle w:val="Normal"/>
        <w:tabs>
          <w:tab w:val="clear" w:pos="720"/>
          <w:tab w:val="left" w:pos="709" w:leader="none"/>
        </w:tabs>
        <w:ind w:left="0" w:right="0" w:firstLine="567"/>
        <w:jc w:val="both"/>
        <w:rPr/>
      </w:pPr>
      <w:r>
        <w:rPr/>
        <w:t>Ежегодно  в  районе  проводится  большое количество мероприятий,  направленных  на  развитие системы  патриотического  воспитания,  взаимодействие  органов  власти  с  общественными организациями, на  осуществление  комплекса  мероприятий  по  патриотическому  воспитанию  детей  и молодежи.</w:t>
      </w:r>
    </w:p>
    <w:p>
      <w:pPr>
        <w:pStyle w:val="Normal"/>
        <w:ind w:left="0" w:right="0" w:firstLine="567"/>
        <w:jc w:val="both"/>
        <w:rPr/>
      </w:pPr>
      <w:r>
        <w:rPr/>
        <w:t xml:space="preserve">1 апреля 2016 года  создан Молодежный Совет при Совете Лахденпохского муниципального района (далее – Совет). Одним из приоритетных направлений деятельности Совета является патриотическое воспитание молодых граждан. 23 апреля 2016 года Совет курировал проведение на территории района Всероссийского теста по истории ВОВ. Представители Совета принимали участие в ряде мероприятий фестиваля «Эстафета поколений – эстафета памяти». В преддверии дня Победы силами Совета проведена районная акция Георгиевская лента и акция по передаче Вечного огня. В мае 2016 года проведен информационно-методический семинар для членов Молодежных советов РК в рамках проекта «Команда Карелии». </w:t>
      </w:r>
    </w:p>
    <w:p>
      <w:pPr>
        <w:pStyle w:val="Normal"/>
        <w:ind w:left="0" w:right="0" w:firstLine="567"/>
        <w:jc w:val="both"/>
        <w:rPr/>
      </w:pPr>
      <w:r>
        <w:rPr/>
        <w:t>В январе – феврале 2016 года создан Зональный центр военно-патриотического воспитания и подготовки граждан (молодежи) Лахденпохского муниципального района к военной службе и утвержден состав координационного (наблюдательного) Совета Зонального центра военно-патриотического воспитания и подготовки граждан (молодежи) Лахденпохского муниципального района к военной службе.</w:t>
      </w:r>
    </w:p>
    <w:p>
      <w:pPr>
        <w:pStyle w:val="Normal"/>
        <w:ind w:left="0" w:right="0" w:firstLine="708"/>
        <w:jc w:val="both"/>
        <w:rPr/>
      </w:pPr>
      <w:r>
        <w:rPr/>
        <w:t>Успешное решение задач социально-экономического и культурного развития в Лахденпохском муниципальном районе невозможно без активного участия молодежи.</w:t>
      </w:r>
    </w:p>
    <w:p>
      <w:pPr>
        <w:pStyle w:val="Normal"/>
        <w:ind w:left="0" w:right="0" w:firstLine="567"/>
        <w:jc w:val="both"/>
        <w:rPr/>
      </w:pPr>
      <w:r>
        <w:rPr/>
        <w:t>Число молодежи в Лахденпохском муниципальном районе в возрасте от 14 до 30 лет – 2300 человек, что составляет 16,88% от общей численности населения района. Молодежь обладает значительным потенциалом, который используется не в полной мере – мобильностью, инициативностью, восприимчивостью к инновационным изменениям, новым технологиям, способностью противодействовать негативным вызовам.</w:t>
      </w:r>
    </w:p>
    <w:p>
      <w:pPr>
        <w:pStyle w:val="Normal"/>
        <w:ind w:left="0" w:right="0" w:firstLine="708"/>
        <w:jc w:val="both"/>
        <w:rPr/>
      </w:pPr>
      <w:r>
        <w:rPr/>
        <w:t>Подпрограмма «Комплексные мероприятия в области работы с молодёжью» представляет собой целенаправленную деятельность, направленную на создание условий для самореализации молодежи и создание благоприятных условий в решении проблем во всех сферах ее жизнедеятельности. И предполагает увеличение доли молодежи Лахденпохского муниципального района в возрасте от 14 до 30 лет, участвующей в мероприятиях подпрограммы, в общей численности молодежи Лахденпохского муниципального района с  50 % в 2016 году до 60 %  в 2021 году.</w:t>
      </w:r>
    </w:p>
    <w:p>
      <w:pPr>
        <w:pStyle w:val="Normal"/>
        <w:tabs>
          <w:tab w:val="clear" w:pos="720"/>
          <w:tab w:val="left" w:pos="709" w:leader="none"/>
        </w:tabs>
        <w:ind w:left="0" w:right="0" w:firstLine="567"/>
        <w:jc w:val="both"/>
        <w:rPr/>
      </w:pPr>
      <w:r>
        <w:rPr/>
      </w:r>
    </w:p>
    <w:p>
      <w:pPr>
        <w:pStyle w:val="Normal"/>
        <w:numPr>
          <w:ilvl w:val="0"/>
          <w:numId w:val="0"/>
        </w:numPr>
        <w:spacing w:lineRule="auto" w:line="276"/>
        <w:ind w:left="360" w:right="0" w:hanging="0"/>
        <w:jc w:val="center"/>
        <w:rPr>
          <w:b/>
          <w:b/>
        </w:rPr>
      </w:pPr>
      <w:r>
        <w:rPr>
          <w:b/>
        </w:rPr>
        <w:t>Цели и задача Подпрограммы 2.</w:t>
      </w:r>
    </w:p>
    <w:p>
      <w:pPr>
        <w:pStyle w:val="Normal"/>
        <w:jc w:val="both"/>
        <w:rPr/>
      </w:pPr>
      <w:r>
        <w:rPr>
          <w:b/>
          <w:bCs/>
        </w:rPr>
        <w:t>Цель:</w:t>
      </w:r>
      <w:r>
        <w:rPr/>
        <w:t xml:space="preserve"> Развитие активности  молодежи в общественной жизни   Лахденпохского муниципального района</w:t>
      </w:r>
      <w:r>
        <w:rPr>
          <w:sz w:val="22"/>
        </w:rPr>
        <w:t xml:space="preserve">. </w:t>
      </w:r>
      <w:r>
        <w:rPr/>
        <w:t>Достижение данной цели предполагается посредством решения двух взаимодополняющих задач:</w:t>
      </w:r>
    </w:p>
    <w:p>
      <w:pPr>
        <w:pStyle w:val="Normal"/>
        <w:jc w:val="both"/>
        <w:rPr/>
      </w:pPr>
      <w:r>
        <w:rPr>
          <w:b/>
        </w:rPr>
        <w:t>Задача 1</w:t>
      </w:r>
      <w:r>
        <w:rPr/>
        <w:t>: создание условий для успешной социализации и эффективной самореализации молодежи Лахденпохского муниципального района, развитие потенциала молодежи в интересах социально-экономического развития района.</w:t>
      </w:r>
    </w:p>
    <w:p>
      <w:pPr>
        <w:pStyle w:val="Normal"/>
        <w:rPr/>
      </w:pPr>
      <w:r>
        <w:rPr>
          <w:b/>
        </w:rPr>
        <w:t>Задача 2</w:t>
      </w:r>
      <w:r>
        <w:rPr/>
        <w:t>: создание условий для совершенствования системы патриотического воспитания и допризывной подготовки молодежи, направленной на духовно-нравственное воспитание личности.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0"/>
        </w:numPr>
        <w:ind w:left="360" w:right="0" w:hanging="0"/>
        <w:jc w:val="center"/>
        <w:rPr>
          <w:b/>
          <w:b/>
        </w:rPr>
      </w:pPr>
      <w:r>
        <w:rPr>
          <w:b/>
        </w:rPr>
        <w:t>Целевые индикаторы и показатели Подпрограммы – 2</w:t>
      </w:r>
    </w:p>
    <w:p>
      <w:pPr>
        <w:pStyle w:val="Normal"/>
        <w:ind w:left="0" w:right="0" w:firstLine="360"/>
        <w:jc w:val="both"/>
        <w:rPr/>
      </w:pPr>
      <w:r>
        <w:rPr/>
        <w:t>Достижение поставленной цели и задач Подпрограммы – 2 характеризуется следующим целевым показателем (индикатором):</w:t>
      </w:r>
    </w:p>
    <w:p>
      <w:pPr>
        <w:pStyle w:val="Normal"/>
        <w:jc w:val="both"/>
        <w:rPr/>
      </w:pPr>
      <w:r>
        <w:rPr/>
        <w:t>Увеличение доли молодежи Лахденпохского муниципального района в возрасте от 14 до 30 лет, участвующей в мероприятиях программы, в общей численности молодежи с  50 %  в 2016 году до 60  %  в 2021 году. Расчёт показателя: количество молодёжи от 14 до 30 лет, вовлечённых в мероприятия Программы / общее количество молодёжи ЛМР от 14 до 30 лет * 100%. Показатель определяется каждый год по итогам отчётов исполнителей мероприятий.</w:t>
      </w:r>
    </w:p>
    <w:p>
      <w:pPr>
        <w:pStyle w:val="Normal"/>
        <w:suppressAutoHyphens w:val="true"/>
        <w:ind w:left="21" w:right="0" w:hanging="21"/>
        <w:jc w:val="center"/>
        <w:rPr>
          <w:u w:val="single" w:color="FFFFFF"/>
        </w:rPr>
      </w:pPr>
      <w:r>
        <w:rPr>
          <w:b/>
          <w:bCs/>
          <w:u w:val="single" w:color="FFFFFF"/>
        </w:rPr>
        <w:t>Показателями результатов и эффективности Подпрограммы – 2 являются:</w:t>
      </w:r>
    </w:p>
    <w:p>
      <w:pPr>
        <w:pStyle w:val="Normal"/>
        <w:tabs>
          <w:tab w:val="clear" w:pos="720"/>
          <w:tab w:val="left" w:pos="726" w:leader="none"/>
          <w:tab w:val="center" w:pos="4677" w:leader="none"/>
        </w:tabs>
        <w:jc w:val="both"/>
        <w:rPr/>
      </w:pPr>
      <w:r>
        <w:rPr/>
        <w:t>1. Доля молодежи Лахденпохского муниципального района в возрасте от 14 до 30 лет, участвующей в мероприятиях программы, посвященных укреплению института семьи – показатель определяется в соответствии с фактически проведёнными мероприятиями. Расчёт показателя: участники мероприятий / общее количество молодёжи ЛМР от 14 до 30 лет * 100%.</w:t>
      </w:r>
    </w:p>
    <w:p>
      <w:pPr>
        <w:pStyle w:val="Normal"/>
        <w:tabs>
          <w:tab w:val="clear" w:pos="720"/>
          <w:tab w:val="left" w:pos="726" w:leader="none"/>
          <w:tab w:val="center" w:pos="4677" w:leader="none"/>
        </w:tabs>
        <w:jc w:val="both"/>
        <w:rPr/>
      </w:pPr>
      <w:r>
        <w:rPr/>
        <w:t>2. Доля молодежи Лахденпохского муниципального района в возрасте от 14 до 30 лет, участвующей в мероприятиях программы, направленных на социальную активность и самостоятельность молодежи – показатель определяется в соответствии с фактически проведёнными мероприятиями. Расчёт показателя: участники мероприятий / общее количество молодёжи ЛМР от 14 до 30 лет * 100%.</w:t>
      </w:r>
    </w:p>
    <w:p>
      <w:pPr>
        <w:pStyle w:val="Normal"/>
        <w:tabs>
          <w:tab w:val="clear" w:pos="720"/>
          <w:tab w:val="left" w:pos="726" w:leader="none"/>
          <w:tab w:val="center" w:pos="4677" w:leader="none"/>
        </w:tabs>
        <w:jc w:val="both"/>
        <w:rPr/>
      </w:pPr>
      <w:r>
        <w:rPr/>
        <w:t>3. Доля молодежи Лахденпохского муниципального района в возрасте от 14 до 30 лет, участвующей в мероприятиях программы, направленных на разностороннее развитие молодых людей, их творческих способностей, самореализации личности, формирование здорового образа жизни – показатель определяется в соответствии с фактически проведёнными мероприятиями. Расчёт показателя: участники мероприятий / общее количество молодёжи ЛМР от 14 до 30 лет * 100%.</w:t>
      </w:r>
    </w:p>
    <w:p>
      <w:pPr>
        <w:pStyle w:val="Normal"/>
        <w:jc w:val="both"/>
        <w:rPr/>
      </w:pPr>
      <w:r>
        <w:rPr/>
        <w:t xml:space="preserve">4. Число мероприятий духовно-нравственной направленности для молодых граждан Лахденпохского муниципального района – показатель определяется в соответствии с фактически проведёнными мероприятиями. </w:t>
      </w:r>
    </w:p>
    <w:p>
      <w:pPr>
        <w:pStyle w:val="Normal"/>
        <w:tabs>
          <w:tab w:val="clear" w:pos="720"/>
          <w:tab w:val="left" w:pos="726" w:leader="none"/>
          <w:tab w:val="center" w:pos="4677" w:leader="none"/>
        </w:tabs>
        <w:jc w:val="both"/>
        <w:rPr/>
      </w:pPr>
      <w:r>
        <w:rPr/>
        <w:t>5. Доля молодых граждан, вовлеченных в  мероприятия  по  патриотическому  воспитанию – показатель определяется в соответствии с фактически проведёнными мероприятиями. Расчёт показателя: участники мероприятий / общее количество молодёжи ЛМР от 14 до 30 лет * 100%.</w:t>
      </w:r>
    </w:p>
    <w:p>
      <w:pPr>
        <w:pStyle w:val="Normal"/>
        <w:jc w:val="both"/>
        <w:rPr/>
      </w:pPr>
      <w:r>
        <w:rPr/>
      </w:r>
    </w:p>
    <w:p>
      <w:pPr>
        <w:pStyle w:val="Normal"/>
        <w:numPr>
          <w:ilvl w:val="0"/>
          <w:numId w:val="0"/>
        </w:numPr>
        <w:ind w:left="360" w:right="0" w:hanging="0"/>
        <w:jc w:val="center"/>
        <w:rPr>
          <w:b/>
          <w:b/>
        </w:rPr>
      </w:pPr>
      <w:r>
        <w:rPr>
          <w:b/>
        </w:rPr>
        <w:t xml:space="preserve">Объем финансовых ресурсов, необходимых для реализации </w:t>
      </w:r>
    </w:p>
    <w:p>
      <w:pPr>
        <w:pStyle w:val="Normal"/>
        <w:numPr>
          <w:ilvl w:val="0"/>
          <w:numId w:val="0"/>
        </w:numPr>
        <w:ind w:left="360" w:right="0" w:hanging="0"/>
        <w:jc w:val="center"/>
        <w:rPr>
          <w:b/>
          <w:b/>
        </w:rPr>
      </w:pPr>
      <w:r>
        <w:rPr>
          <w:b/>
        </w:rPr>
        <w:t>Подпрограммы – 2</w:t>
      </w:r>
    </w:p>
    <w:p>
      <w:pPr>
        <w:pStyle w:val="Normal"/>
        <w:tabs>
          <w:tab w:val="clear" w:pos="720"/>
          <w:tab w:val="left" w:pos="426" w:leader="none"/>
        </w:tabs>
        <w:ind w:left="0" w:right="19" w:hanging="0"/>
        <w:jc w:val="both"/>
        <w:rPr/>
      </w:pPr>
      <w:r>
        <w:rPr/>
        <w:tab/>
        <w:t>Объем финансирования составит 678,43</w:t>
      </w:r>
      <w:r>
        <w:rPr>
          <w:u w:val="single" w:color="FFFFFF"/>
        </w:rPr>
        <w:t xml:space="preserve"> </w:t>
      </w:r>
      <w:r>
        <w:rPr/>
        <w:t>тыс. руб., из которых: ответственный исполнитель — ОСР АЛМР — 440,23 тыс.руб.; соисполнитель — МУ «РУО и ДМ» - 238,2 тыс.руб.</w:t>
      </w:r>
    </w:p>
    <w:p>
      <w:pPr>
        <w:pStyle w:val="Normal"/>
        <w:numPr>
          <w:ilvl w:val="0"/>
          <w:numId w:val="0"/>
        </w:numPr>
        <w:spacing w:lineRule="auto" w:line="276"/>
        <w:ind w:left="360" w:right="0" w:hanging="0"/>
        <w:jc w:val="center"/>
        <w:rPr>
          <w:b/>
          <w:b/>
        </w:rPr>
      </w:pPr>
      <w:r>
        <w:rPr>
          <w:b/>
        </w:rPr>
        <w:t>Обоснование потребностей в бюджетных ресурсах для достижений целей и результатов Подпрограммы – 2</w:t>
      </w:r>
    </w:p>
    <w:p>
      <w:pPr>
        <w:pStyle w:val="Normal"/>
        <w:rPr/>
      </w:pPr>
      <w:r>
        <w:rPr/>
        <w:t xml:space="preserve">         </w:t>
      </w:r>
      <w:r>
        <w:rPr/>
        <w:t xml:space="preserve">Для проведения мероприятий подпрограммы необходимы бюджетные средства: </w:t>
      </w:r>
    </w:p>
    <w:p>
      <w:pPr>
        <w:pStyle w:val="Normal"/>
        <w:rPr/>
      </w:pPr>
      <w:r>
        <w:rPr/>
      </w:r>
    </w:p>
    <w:tbl>
      <w:tblPr>
        <w:tblW w:w="9645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55" w:type="dxa"/>
          <w:left w:w="50" w:type="dxa"/>
          <w:bottom w:w="55" w:type="dxa"/>
          <w:right w:w="55" w:type="dxa"/>
        </w:tblCellMar>
      </w:tblPr>
      <w:tblGrid>
        <w:gridCol w:w="1874"/>
        <w:gridCol w:w="4366"/>
        <w:gridCol w:w="1"/>
        <w:gridCol w:w="614"/>
        <w:gridCol w:w="630"/>
        <w:gridCol w:w="1"/>
        <w:gridCol w:w="674"/>
        <w:gridCol w:w="1"/>
        <w:gridCol w:w="734"/>
        <w:gridCol w:w="1"/>
        <w:gridCol w:w="748"/>
      </w:tblGrid>
      <w:tr>
        <w:trPr/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Мероприятие</w:t>
            </w:r>
          </w:p>
        </w:tc>
        <w:tc>
          <w:tcPr>
            <w:tcW w:w="4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Обоснование (смета)</w:t>
            </w:r>
          </w:p>
        </w:tc>
        <w:tc>
          <w:tcPr>
            <w:tcW w:w="34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Объем финансирования (тыс.руб.)</w:t>
            </w:r>
          </w:p>
        </w:tc>
      </w:tr>
      <w:tr>
        <w:trPr/>
        <w:tc>
          <w:tcPr>
            <w:tcW w:w="18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r>
          </w:p>
        </w:tc>
        <w:tc>
          <w:tcPr>
            <w:tcW w:w="43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2017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2018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2019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2020</w:t>
            </w:r>
          </w:p>
        </w:tc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2021</w:t>
            </w:r>
          </w:p>
        </w:tc>
      </w:tr>
      <w:tr>
        <w:trPr/>
        <w:tc>
          <w:tcPr>
            <w:tcW w:w="964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Ответственный исполнитель:  ОСР АЛМР</w:t>
            </w:r>
          </w:p>
        </w:tc>
      </w:tr>
      <w:tr>
        <w:trPr/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902" w:leader="none"/>
              </w:tabs>
              <w:ind w:left="0" w:right="19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 xml:space="preserve">Организация и проведение 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highlight w:val="white"/>
                <w:u w:val="none"/>
              </w:rPr>
              <w:t>мероприятий, направленных на укрепление соц. статуса семьи, семейных ценностей и традиций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Финансирование мероприятий на основании заявок и в соответствии с согласованной сметой.</w:t>
            </w: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/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26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25</w:t>
            </w:r>
          </w:p>
        </w:tc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20</w:t>
            </w:r>
          </w:p>
        </w:tc>
      </w:tr>
      <w:tr>
        <w:trPr/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902" w:leader="none"/>
              </w:tabs>
              <w:ind w:left="0" w:right="19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Организация работы Совета молодежи при Совете Лахденпохского муниципального района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>2019 г.</w:t>
            </w:r>
            <w:r>
              <w:rPr>
                <w:sz w:val="20"/>
              </w:rPr>
              <w:t xml:space="preserve"> – конц.товары: бейджы 30 шт.*15 руб.=450 руб., папки: 30 шт.*20 руб.=600 руб., ручки: 30 шт.*10 руб.=300 руб., блокноты: 30 шт.*25 руб.=750 руб., сертификаты для участников:30 шт.*50 руб.=1500 руб., буклеты: 10 шт*40 руб.=400 руб. </w:t>
            </w:r>
          </w:p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2020 г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. – конц.товары: бейджы 35 шт.*15 руб.=525 руб., папки: 35шт.*20 руб.=700 руб., ручки: 35 шт.*10 руб.=350 руб., блокноты: 35шт.*25руб.=875руб.</w:t>
            </w:r>
          </w:p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2021 г.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 xml:space="preserve"> - конц.товары: бейджы 35 шт.*15 руб.=525 руб., папки: 35шт.*20 руб.=700 руб., ручки: 35 шт.*10 руб.=350 руб., блокноты: 35шт.*25руб.=875руб.</w:t>
            </w: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/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4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2,45</w:t>
            </w:r>
          </w:p>
        </w:tc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2,45</w:t>
            </w:r>
          </w:p>
        </w:tc>
      </w:tr>
      <w:tr>
        <w:trPr/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902" w:leader="none"/>
              </w:tabs>
              <w:ind w:left="0" w:right="19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Участие членов Совета Молодежи в работе Республиканского молодежного Парламента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Оплата проезда членов Совета молодежи Лахденпохского муниципального района:</w:t>
            </w:r>
          </w:p>
          <w:p>
            <w:pPr>
              <w:pStyle w:val="Normal"/>
              <w:jc w:val="both"/>
              <w:rPr/>
            </w:pPr>
            <w:r>
              <w:rPr>
                <w:b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2019 г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. – 4 чел.*650 руб.*2 =  5200 руб., суточные 4 чел.*200 руб. = 800 руб.</w:t>
            </w:r>
          </w:p>
          <w:p>
            <w:pPr>
              <w:pStyle w:val="Normal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 xml:space="preserve">2020/2021 г. 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- 4 чел.*650 руб.*2 =  5200 руб., суточные 4 чел.*200 руб. = 800 руб.</w:t>
            </w: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/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6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6</w:t>
            </w:r>
          </w:p>
        </w:tc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6</w:t>
            </w:r>
          </w:p>
        </w:tc>
      </w:tr>
      <w:tr>
        <w:trPr/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902" w:leader="none"/>
              </w:tabs>
              <w:ind w:left="0" w:right="19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 xml:space="preserve">Организация и проведение церемонии награждения молодых граждан, достигших особых успехов в трудовой, творческой, социальной деятельности («Человек года», «Инициатива» и др.) 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>2019 г.</w:t>
            </w:r>
            <w:r>
              <w:rPr>
                <w:sz w:val="20"/>
              </w:rPr>
              <w:t xml:space="preserve"> – Подарочные сертификаты – 12 шт.*1000руб.=12000руб.; благодарственные письма – 12 шт.*50 руб. =600 руб., рамки для Б\п – 12 шт.*150 руб.= 1800 руб.;кубки – 12 шт.*375 руб.=4500 руб.;  цветы – 12 шт.*340 руб.=4100руб. </w:t>
            </w:r>
          </w:p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>2021 г.</w:t>
            </w:r>
            <w:r>
              <w:rPr>
                <w:sz w:val="20"/>
              </w:rPr>
              <w:t xml:space="preserve"> – Подарочные сертификаты – 12 шт.*1000руб.=12000руб.; благодарственные письма – 12 шт.*50 руб. =600 руб., рамки для Б\п – 12 шт.*200 руб.= 2400 руб.</w:t>
            </w: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/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23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15</w:t>
            </w:r>
          </w:p>
        </w:tc>
      </w:tr>
      <w:tr>
        <w:trPr/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Создание условий для физического развития, инициативы и творчества молодёжи, формирования ЗОЖ, социализация молодых граждан с ограниченными возможностями здоровья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Финансирование мероприятий на основании заявок и в соответствии с согласованной сметой.</w:t>
            </w: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/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17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77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70</w:t>
            </w:r>
          </w:p>
        </w:tc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58,48</w:t>
            </w:r>
          </w:p>
        </w:tc>
      </w:tr>
      <w:tr>
        <w:trPr/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902" w:leader="none"/>
              </w:tabs>
              <w:ind w:left="0" w:right="19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 xml:space="preserve">Организация и проведение торжественных проводов в армию призывников Лахденпохского района (осенний и весенний призывы). 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>2018 г.</w:t>
            </w:r>
            <w:r>
              <w:rPr>
                <w:sz w:val="20"/>
              </w:rPr>
              <w:t xml:space="preserve"> – подарочные сертификаты: 10 шт.*1000руб.=10000руб;</w:t>
            </w:r>
          </w:p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2019 г. - </w:t>
            </w:r>
            <w:r>
              <w:rPr>
                <w:sz w:val="20"/>
              </w:rPr>
              <w:t xml:space="preserve"> подарочные сертификаты: 22 шт.*1000руб.=22000руб;</w:t>
            </w:r>
          </w:p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>2020 г.</w:t>
            </w:r>
            <w:r>
              <w:rPr>
                <w:sz w:val="20"/>
              </w:rPr>
              <w:t xml:space="preserve"> – подарочные сертификаты: 12шт.*1000руб.=12000руб;</w:t>
            </w:r>
          </w:p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 xml:space="preserve">2021 г. – 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подарочные сертификаты: 12 шт.*1000руб.=12000руб.</w:t>
            </w: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/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22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12</w:t>
            </w:r>
          </w:p>
        </w:tc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12</w:t>
            </w:r>
          </w:p>
        </w:tc>
      </w:tr>
      <w:tr>
        <w:trPr/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902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Организация и проведение мероприятий, посвященных памятным и праздничным датам 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Финансирование мероприятий на основании заявок и в соответствии с согласованной сметой.</w:t>
            </w: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/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11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2,85</w:t>
            </w:r>
          </w:p>
        </w:tc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</w:t>
            </w:r>
          </w:p>
        </w:tc>
      </w:tr>
      <w:tr>
        <w:trPr/>
        <w:tc>
          <w:tcPr>
            <w:tcW w:w="6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 xml:space="preserve">                                                                        </w:t>
            </w: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ИТОГО: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/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37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169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118,3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115,93</w:t>
            </w:r>
          </w:p>
        </w:tc>
      </w:tr>
      <w:tr>
        <w:trPr/>
        <w:tc>
          <w:tcPr>
            <w:tcW w:w="964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Соисполнитель: МУ «РУО и ДМ», участник МБО ДО «ЛЦДТ»</w:t>
            </w:r>
          </w:p>
        </w:tc>
      </w:tr>
      <w:tr>
        <w:trPr/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902" w:leader="none"/>
              </w:tabs>
              <w:ind w:left="0" w:right="19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 xml:space="preserve">Организация и проведение 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highlight w:val="white"/>
                <w:u w:val="none"/>
              </w:rPr>
              <w:t>мероприятий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, направленных на пропаганду народных промыслов среди молодежи (Фольклорный праздник «Зимняя вечерина – расчинай почины»)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2018 г. </w:t>
            </w:r>
            <w:r>
              <w:rPr>
                <w:sz w:val="20"/>
              </w:rPr>
              <w:t>расходные материалы для мастер-классов и оформления сцены (ткань х/б, ткань для костюмов, нитки, вуаль, цв.бумага, картон, клей ПВА, краски акв., гуашь) -  8000 руб.; чаепитие для участников праздника (одн.посуда, салфетки, чай, кофе, сах.песок, конфеты, мука, молоко, маргарин, яйцо, дрожжи) – 4000 руб.</w:t>
            </w:r>
          </w:p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2019/2020 г. </w:t>
            </w:r>
            <w:r>
              <w:rPr>
                <w:sz w:val="20"/>
              </w:rPr>
              <w:t>расходные материалы для мастер-классов и оформления сцены (ткань х/б, ткань для костюмов, нитки, вуаль, цв.бумага, картон, клей ПВА, краски акв., гуашь) -  8000 руб.; чаепитие для участников праздника (одн.посуда, салфетки, чай, кофе, сах.песок, конфеты, мука, молоко, маргарин, яйцо, дрожжи) – 5000 руб.</w:t>
            </w:r>
          </w:p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 xml:space="preserve">2021 г. 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расходные материалы для мастер-классов и оформления сцены (ткань х/б, ткань для костюмов, нитки, вуаль, цв.бумага, картон, клей ПВА, краски акв., гуашь) -  8000 руб.; чаепитие для участников праздника (одн.посуда, салфетки, чай, кофе, сах.песок, конфеты, мука, молоко, маргарин, яйцо, дрожжи) – 4000 руб.</w:t>
            </w: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/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13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13</w:t>
            </w:r>
          </w:p>
        </w:tc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14</w:t>
            </w:r>
          </w:p>
        </w:tc>
      </w:tr>
      <w:tr>
        <w:trPr/>
        <w:tc>
          <w:tcPr>
            <w:tcW w:w="964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Соисполнитель: МУ «РУО и ДМ», участник МКОУ «ЛСОШ»</w:t>
            </w:r>
          </w:p>
        </w:tc>
      </w:tr>
      <w:tr>
        <w:trPr/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902" w:leader="none"/>
              </w:tabs>
              <w:ind w:left="0" w:right="19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Организация и проведение школьных балов среди обучающихся образовательных организаций Лахденпохского муниципального района.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2018 г. </w:t>
            </w:r>
            <w:r>
              <w:rPr>
                <w:sz w:val="20"/>
              </w:rPr>
              <w:t>Украшение актового зала (ткань для драпировки, нов.украшения) – 3000 руб.; Благодарственные письма – 20 шт.*50 руб.=1000руб.; призы для игр– 1000руб.; ценные подарки – 20 шт.*350 руб.=7000руб.</w:t>
            </w:r>
          </w:p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>2019/2020 г.</w:t>
            </w:r>
            <w:r>
              <w:rPr>
                <w:sz w:val="20"/>
              </w:rPr>
              <w:t xml:space="preserve"> Благодарственные письма – 20 шт.*50 руб.=1000руб.; призы для игр– 1000руб.; ценные подарки – 20 шт.*350 руб.=7000руб.; фуршетный стол (мандарины, виноград, конфеты, мороженое, одн.посуда)=5000руб.;</w:t>
            </w:r>
          </w:p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 xml:space="preserve">2021 г. 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Благодарственные письма – 20 шт.*55 руб.=1100руб.; призы для игр– 1500руб.; ценные подарки – 20 шт.*350 руб.=7000руб.; фуршетный стол (мандарины, виноград, конфеты, мороженое, одн.посуда)=5400руб.;</w:t>
            </w: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/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14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14</w:t>
            </w:r>
          </w:p>
        </w:tc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15</w:t>
            </w:r>
          </w:p>
        </w:tc>
      </w:tr>
      <w:tr>
        <w:trPr/>
        <w:tc>
          <w:tcPr>
            <w:tcW w:w="964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Соисполнитель: МУ «РУО и ДМ»</w:t>
            </w:r>
          </w:p>
        </w:tc>
      </w:tr>
      <w:tr>
        <w:trPr/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902" w:leader="none"/>
              </w:tabs>
              <w:ind w:left="0" w:right="19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 xml:space="preserve">Организация и проведение 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highlight w:val="white"/>
                <w:u w:val="none"/>
              </w:rPr>
              <w:t>мероприятий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, направленных на поддержку молодых специалистов (Чествование молодых специалистов в рамках Августовской конференции работников образования Лахденпохского района: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2019 г. – </w:t>
            </w:r>
            <w:r>
              <w:rPr>
                <w:sz w:val="20"/>
              </w:rPr>
              <w:t>подарочные сертификаты – 6 шт*2000руб.=12000руб.</w:t>
            </w:r>
          </w:p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>2020 г.</w:t>
            </w:r>
            <w:r>
              <w:rPr>
                <w:sz w:val="20"/>
              </w:rPr>
              <w:t xml:space="preserve"> – подарочные сертификаты – 5 шт*2600руб.=13000руб.</w:t>
            </w:r>
          </w:p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2021 г.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 xml:space="preserve"> – подарочные сертификаты – 7 шт*2000руб.=14000руб.</w:t>
            </w: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/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12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13</w:t>
            </w:r>
          </w:p>
        </w:tc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14</w:t>
            </w:r>
          </w:p>
        </w:tc>
      </w:tr>
      <w:tr>
        <w:trPr/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902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Проведение районной военно-спортивной игры «Победа», посвященной Победе в Великой Отечественной войне.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2019 г. </w:t>
            </w:r>
            <w:r>
              <w:rPr>
                <w:sz w:val="20"/>
              </w:rPr>
              <w:t>дипломы – 30 шт.*20руб.=600 руб.; питание70чел.*200руб.=14000руб.;5кубков*280руб.=1400руб.</w:t>
            </w:r>
          </w:p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2020 г. </w:t>
            </w:r>
            <w:r>
              <w:rPr>
                <w:sz w:val="20"/>
              </w:rPr>
              <w:t>дипломы – 30 шт.*20руб.=600 руб.; питание70чел.*200руб.=14000руб.;5кубков*280руб.=1400руб.; пульки для стрельбы 2 уп.*350руб.=700руб., пачка бумаги А4 для мишеней – 300 руб.;</w:t>
            </w:r>
          </w:p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2021 г. </w:t>
            </w:r>
            <w:r>
              <w:rPr>
                <w:sz w:val="20"/>
              </w:rPr>
              <w:t>дипломы – 30 шт.*20руб.=600 руб.; питание60чел.*250руб.=15000руб.;5кубков*280руб.=1400руб.; пульки для стрельбы 2 уп.*350руб.=700руб., пачка бумаги А4 для мишеней – 300 руб.;</w:t>
            </w: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/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16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17</w:t>
            </w:r>
          </w:p>
        </w:tc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18</w:t>
            </w:r>
          </w:p>
        </w:tc>
      </w:tr>
      <w:tr>
        <w:trPr/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902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Участие команды Лахденпохского муниципального района в республиканском этапе военно-спортивной игры «Победа», посвященной Победе в Великой Отечественной войне.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>2019-2020 г.г.:</w:t>
            </w:r>
            <w:r>
              <w:rPr>
                <w:sz w:val="20"/>
              </w:rPr>
              <w:t xml:space="preserve"> оплата проезда команды участников по маршруту Лахденпохья-Петрозаводск-Лахденпохья (12 чел*750 руб.)*2 = 18000 руб.</w:t>
            </w:r>
          </w:p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>2021 г.:</w:t>
            </w:r>
            <w:r>
              <w:rPr>
                <w:sz w:val="20"/>
              </w:rPr>
              <w:t xml:space="preserve"> оплата проезда команды участников по маршруту Лахденпохья-Петрозаводск-Лахденпохья (12 чел*800 руб.)*2 = 19200 руб.</w:t>
            </w: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/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18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18</w:t>
            </w:r>
          </w:p>
        </w:tc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19,2</w:t>
            </w:r>
          </w:p>
        </w:tc>
      </w:tr>
      <w:tr>
        <w:trPr/>
        <w:tc>
          <w:tcPr>
            <w:tcW w:w="6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902" w:leader="none"/>
              </w:tabs>
              <w:ind w:left="0" w:right="19" w:hanging="0"/>
              <w:jc w:val="both"/>
              <w:rPr>
                <w:b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                                                                        </w:t>
            </w:r>
            <w:r>
              <w:rPr>
                <w:b/>
                <w:bCs/>
                <w:sz w:val="20"/>
              </w:rPr>
              <w:t>ИТОГО: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/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73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75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80,2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numPr>
          <w:ilvl w:val="0"/>
          <w:numId w:val="0"/>
        </w:numPr>
        <w:ind w:left="360" w:right="0" w:hanging="0"/>
        <w:jc w:val="center"/>
        <w:rPr>
          <w:b/>
          <w:b/>
        </w:rPr>
      </w:pPr>
      <w:r>
        <w:rPr>
          <w:b/>
        </w:rPr>
        <w:t>Обеспечение контроля над реализацией Подпрограммы 1</w:t>
      </w:r>
    </w:p>
    <w:p>
      <w:pPr>
        <w:pStyle w:val="Normal"/>
        <w:tabs>
          <w:tab w:val="clear" w:pos="720"/>
          <w:tab w:val="left" w:pos="902" w:leader="none"/>
        </w:tabs>
        <w:spacing w:lineRule="auto" w:line="271"/>
        <w:ind w:left="5" w:right="19" w:firstLine="538"/>
        <w:jc w:val="both"/>
        <w:rPr>
          <w:highlight w:val="white"/>
        </w:rPr>
      </w:pPr>
      <w:r>
        <w:rPr>
          <w:highlight w:val="white"/>
        </w:rPr>
        <w:t xml:space="preserve">Отдел социальной работы Администрации Лахденпохского муниципального района обеспечивает реализацию мероприятий Подпрограммы – 2 в соответствии с утвержденным объемом финансирования и осуществляет контроль за целевым использованием путем: </w:t>
      </w:r>
    </w:p>
    <w:p>
      <w:pPr>
        <w:pStyle w:val="Normal"/>
        <w:tabs>
          <w:tab w:val="clear" w:pos="720"/>
          <w:tab w:val="left" w:pos="902" w:leader="none"/>
        </w:tabs>
        <w:spacing w:lineRule="auto" w:line="271"/>
        <w:ind w:left="5" w:right="19" w:firstLine="538"/>
        <w:jc w:val="both"/>
        <w:rPr>
          <w:highlight w:val="white"/>
        </w:rPr>
      </w:pPr>
      <w:r>
        <w:rPr>
          <w:highlight w:val="white"/>
        </w:rPr>
        <w:t>- подготовки отчета о ходе исполнения настоящей Подпрограммы – 2 в первом квартале 2018, 2019, 2020, 2021, 2022 годов.</w:t>
      </w:r>
    </w:p>
    <w:p>
      <w:pPr>
        <w:pStyle w:val="Normal"/>
        <w:tabs>
          <w:tab w:val="clear" w:pos="720"/>
          <w:tab w:val="left" w:pos="902" w:leader="none"/>
        </w:tabs>
        <w:spacing w:lineRule="auto" w:line="271"/>
        <w:ind w:left="5" w:right="19" w:firstLine="538"/>
        <w:jc w:val="both"/>
        <w:rPr>
          <w:highlight w:val="white"/>
        </w:rPr>
      </w:pPr>
      <w:r>
        <w:rPr>
          <w:highlight w:val="white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t>ПАСПОРТ</w:t>
      </w:r>
    </w:p>
    <w:p>
      <w:pPr>
        <w:pStyle w:val="Normal"/>
        <w:jc w:val="center"/>
        <w:rPr/>
      </w:pPr>
      <w:r>
        <w:rPr/>
        <w:t>муниципальной подпрограммы</w:t>
      </w:r>
    </w:p>
    <w:p>
      <w:pPr>
        <w:pStyle w:val="Normal"/>
        <w:jc w:val="center"/>
        <w:rPr/>
      </w:pPr>
      <w:r>
        <w:rPr/>
        <w:t>«Содействие занятости несовершеннолетних граждан»</w:t>
      </w:r>
    </w:p>
    <w:p>
      <w:pPr>
        <w:pStyle w:val="Normal"/>
        <w:jc w:val="center"/>
        <w:rPr/>
      </w:pPr>
      <w:r>
        <w:rPr/>
        <w:t xml:space="preserve">  </w:t>
      </w:r>
    </w:p>
    <w:tbl>
      <w:tblPr>
        <w:tblW w:w="957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792"/>
        <w:gridCol w:w="5778"/>
      </w:tblGrid>
      <w:tr>
        <w:trPr>
          <w:trHeight w:val="1" w:hRule="atLeast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Наименование муниципальной  подпрограммы 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Муниципальная подпрограмма «Содействие занятости несовершеннолетних граждан» (далее – Подпрограмма – 3) </w:t>
            </w:r>
          </w:p>
        </w:tc>
      </w:tr>
      <w:tr>
        <w:trPr>
          <w:trHeight w:val="1" w:hRule="atLeast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Ответственный исполнитель и разработчик Подпрограммы -3         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>Отдел социальной работы Администрации Лахденпохского муниципального района</w:t>
            </w:r>
          </w:p>
        </w:tc>
      </w:tr>
      <w:tr>
        <w:trPr>
          <w:trHeight w:val="355" w:hRule="atLeast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>Соисполнители Подпрограммы – 3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>МУ «РУО и ДМ»</w:t>
            </w:r>
          </w:p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 xml:space="preserve">Участники Подпрограммы – 3           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>ГКУ РК «ЦЗН»</w:t>
            </w:r>
          </w:p>
          <w:p>
            <w:pPr>
              <w:pStyle w:val="Normal"/>
              <w:jc w:val="both"/>
              <w:rPr/>
            </w:pPr>
            <w:r>
              <w:rPr/>
              <w:t>Несовершеннолетние граждане в возрасте от 14 до 18 лет</w:t>
            </w:r>
          </w:p>
        </w:tc>
      </w:tr>
      <w:tr>
        <w:trPr>
          <w:trHeight w:val="1" w:hRule="atLeast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>Цель Подпрограммы – 3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>Развитие потенциала и интеграция молодежи в социально-экономическую жизнь района</w:t>
            </w:r>
          </w:p>
        </w:tc>
      </w:tr>
      <w:tr>
        <w:trPr>
          <w:trHeight w:val="1" w:hRule="atLeast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>Задача подпрограммы – 3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2"/>
              </w:rPr>
              <w:t xml:space="preserve">Задача 1 – </w:t>
            </w:r>
            <w:r>
              <w:rPr/>
              <w:t>организация профессиональной ориентации несовершеннолетних граждан</w:t>
            </w:r>
            <w:r>
              <w:rPr>
                <w:color w:val="2D3038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b/>
              </w:rPr>
              <w:t xml:space="preserve">Задача 2 – </w:t>
            </w:r>
            <w:r>
              <w:rPr>
                <w:sz w:val="22"/>
              </w:rPr>
              <w:t>о</w:t>
            </w:r>
            <w:r>
              <w:rPr/>
              <w:t xml:space="preserve">рганизация временной занятости и трудоустройства несовершеннолетних граждан в возрасте от 14 до 18 лет </w:t>
            </w:r>
          </w:p>
        </w:tc>
      </w:tr>
      <w:tr>
        <w:trPr>
          <w:trHeight w:val="603" w:hRule="atLeast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>Целевые индикаторы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Рост количества временно  трудоустроенных несовершеннолетних в 2021 году на 47% по отношению в 2016 году. </w:t>
            </w:r>
          </w:p>
        </w:tc>
      </w:tr>
      <w:tr>
        <w:trPr>
          <w:trHeight w:val="603" w:hRule="atLeast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>Конечные  результаты Подпрограммы -3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>1. Доля несовершеннолетних граждан, получивших  консультационные услуги по вопросам трудоустройства и профориентации;</w:t>
            </w:r>
          </w:p>
          <w:p>
            <w:pPr>
              <w:pStyle w:val="Normal"/>
              <w:jc w:val="both"/>
              <w:rPr/>
            </w:pPr>
            <w:r>
              <w:rPr/>
              <w:t xml:space="preserve">2. Количество трудоустроенных несовершеннолетних  не менее 83 человек за период действия программы </w:t>
            </w:r>
          </w:p>
        </w:tc>
      </w:tr>
      <w:tr>
        <w:trPr>
          <w:trHeight w:val="1" w:hRule="atLeast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>Этапы и сроки реализации Подпрограммы – 3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/>
              <w:t xml:space="preserve"> </w:t>
            </w:r>
            <w:r>
              <w:rPr/>
              <w:t>2017 год –  2021 год</w:t>
            </w:r>
          </w:p>
          <w:p>
            <w:pPr>
              <w:pStyle w:val="Normal"/>
              <w:jc w:val="center"/>
              <w:rPr/>
            </w:pPr>
            <w:r>
              <w:rPr/>
              <w:t>Этапы не предусмотрены</w:t>
            </w:r>
          </w:p>
        </w:tc>
      </w:tr>
      <w:tr>
        <w:trPr>
          <w:trHeight w:val="1" w:hRule="atLeast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>Финансовое обеспечение Подпрограммы – 3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Объем финансового обеспечения из бюджета Лахденпохского муниципального района на реализацию подпрограмм составляет: </w:t>
            </w:r>
          </w:p>
          <w:p>
            <w:pPr>
              <w:pStyle w:val="Normal"/>
              <w:rPr/>
            </w:pPr>
            <w:r>
              <w:rPr/>
              <w:t xml:space="preserve">по Подпрограмме 3  -  </w:t>
            </w:r>
            <w:r>
              <w:rPr>
                <w:u w:val="single" w:color="FFFFFF"/>
              </w:rPr>
              <w:t>980</w:t>
            </w:r>
            <w:r>
              <w:rPr/>
              <w:t xml:space="preserve">  тыс. руб., в том числе по годам:</w:t>
            </w:r>
          </w:p>
          <w:p>
            <w:pPr>
              <w:pStyle w:val="Normal"/>
              <w:rPr/>
            </w:pPr>
            <w:r>
              <w:rPr/>
              <w:t>2017 год –  0 тыс. руб.;</w:t>
            </w:r>
          </w:p>
          <w:p>
            <w:pPr>
              <w:pStyle w:val="Normal"/>
              <w:rPr/>
            </w:pPr>
            <w:r>
              <w:rPr/>
              <w:t>2018 год –  200   тыс. руб.;</w:t>
            </w:r>
          </w:p>
          <w:p>
            <w:pPr>
              <w:pStyle w:val="Normal"/>
              <w:rPr/>
            </w:pPr>
            <w:r>
              <w:rPr/>
              <w:t>2019 год –  230  тыс. руб.;</w:t>
            </w:r>
          </w:p>
          <w:p>
            <w:pPr>
              <w:pStyle w:val="Normal"/>
              <w:rPr/>
            </w:pPr>
            <w:r>
              <w:rPr/>
              <w:t>2020 год –  250  тыс. руб.;</w:t>
            </w:r>
          </w:p>
          <w:p>
            <w:pPr>
              <w:pStyle w:val="Normal"/>
              <w:rPr/>
            </w:pPr>
            <w:r>
              <w:rPr/>
              <w:t>2021 год -   300   тыс. руб.</w:t>
            </w:r>
            <w:r>
              <w:rPr>
                <w:color w:val="FF0000"/>
              </w:rPr>
              <w:t xml:space="preserve"> </w:t>
            </w:r>
          </w:p>
        </w:tc>
      </w:tr>
    </w:tbl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numPr>
          <w:ilvl w:val="0"/>
          <w:numId w:val="0"/>
        </w:numPr>
        <w:ind w:left="360" w:right="0" w:hanging="0"/>
        <w:jc w:val="center"/>
        <w:rPr>
          <w:b/>
          <w:b/>
        </w:rPr>
      </w:pPr>
      <w:r>
        <w:rPr>
          <w:b/>
        </w:rPr>
        <w:t>Общая характеристика сферы реализации Подпрограммы – 3</w:t>
      </w:r>
    </w:p>
    <w:p>
      <w:pPr>
        <w:pStyle w:val="Normal"/>
        <w:ind w:left="0" w:right="0" w:firstLine="708"/>
        <w:jc w:val="both"/>
        <w:rPr/>
      </w:pPr>
      <w:r>
        <w:rPr/>
        <w:t>Организация временного трудоустройства несовершеннолетних граждан в возрасте от 14 до 18 лет является одним из активных направлений содействия занятости населения и реализуется на территории Республики Карелия в соответствии с ведомственной целевой программой «Содействие занятости населения Республики Карелия до 2020 года».</w:t>
      </w:r>
    </w:p>
    <w:p>
      <w:pPr>
        <w:pStyle w:val="Normal"/>
        <w:ind w:left="0" w:right="0" w:firstLine="708"/>
        <w:jc w:val="both"/>
        <w:rPr/>
      </w:pPr>
      <w:r>
        <w:rPr/>
        <w:t>Создание временных рабочих мест для несовершеннолетних граждан обеспечивалось в Лахденпохском районе с 2011  по 2015 года при реализации ведомственных программ «Содействие занятости населения Лахденпохского района», а в 2016 году на основании Постановления Администрации Лахденпохского муниципального района от 12 мая 2016 года № 200  «Об организации  временной   занятости  и  трудоустройства несовершеннолетних   граждан  в   возрасте от 14  до 18 лет   на  территории  Лахденпохского   муниципального  района  в 2016 году».</w:t>
      </w:r>
    </w:p>
    <w:p>
      <w:pPr>
        <w:pStyle w:val="Normal"/>
        <w:ind w:left="0" w:right="0" w:firstLine="708"/>
        <w:jc w:val="both"/>
        <w:rPr/>
      </w:pPr>
      <w:r>
        <w:rPr/>
        <w:t>Направление подростков на временные работы в подведомственные муниципальные образовательные учреждения являются одной из мер по профилактике безнадзорности и правонарушений, способствует профессиональной ориентации молодежи.</w:t>
      </w:r>
    </w:p>
    <w:p>
      <w:pPr>
        <w:pStyle w:val="Normal"/>
        <w:ind w:left="0" w:right="0" w:firstLine="708"/>
        <w:jc w:val="both"/>
        <w:rPr/>
      </w:pPr>
      <w:r>
        <w:rPr/>
        <w:t>Накопленный положительный опыт по созданию временных рабочих мест для несовершеннолетних граждан в возрасте от 14 до 18 лет в свободное от учебы время подтверждает необходимость продолжения работы в этом направлении.</w:t>
      </w:r>
    </w:p>
    <w:p>
      <w:pPr>
        <w:pStyle w:val="Normal"/>
        <w:jc w:val="both"/>
        <w:rPr/>
      </w:pPr>
      <w:r>
        <w:rPr/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II  Основные цели и задачи Подпрограммы 3</w:t>
      </w:r>
    </w:p>
    <w:p>
      <w:pPr>
        <w:pStyle w:val="Normal"/>
        <w:jc w:val="both"/>
        <w:rPr/>
      </w:pPr>
      <w:r>
        <w:rPr/>
        <w:t>Цель: Развитие потенциала и интеграция молодежи в социально-экономическую жизнь района.</w:t>
      </w:r>
    </w:p>
    <w:p>
      <w:pPr>
        <w:pStyle w:val="Normal"/>
        <w:ind w:left="0" w:right="0" w:firstLine="360"/>
        <w:jc w:val="both"/>
        <w:rPr/>
      </w:pPr>
      <w:r>
        <w:rPr/>
        <w:t>Для достижения поставленной цели необходимо решить  задачи  Подпрограммы – 3:</w:t>
      </w:r>
    </w:p>
    <w:p>
      <w:pPr>
        <w:pStyle w:val="Normal"/>
        <w:numPr>
          <w:ilvl w:val="0"/>
          <w:numId w:val="9"/>
        </w:numPr>
        <w:ind w:left="0" w:right="0" w:firstLine="360"/>
        <w:jc w:val="both"/>
        <w:rPr/>
      </w:pPr>
      <w:r>
        <w:rPr/>
        <w:t xml:space="preserve">Организация временной  занятости и трудоустройству  несовершеннолетних граждан в возрасте от 14 до 18 лет на территории Лахденпохского муниципального района. </w:t>
      </w:r>
    </w:p>
    <w:p>
      <w:pPr>
        <w:pStyle w:val="Normal"/>
        <w:numPr>
          <w:ilvl w:val="0"/>
          <w:numId w:val="9"/>
        </w:numPr>
        <w:ind w:left="0" w:right="0" w:firstLine="360"/>
        <w:jc w:val="both"/>
        <w:rPr/>
      </w:pPr>
      <w:r>
        <w:rPr/>
        <w:t xml:space="preserve">Организация профессиональной ориентации несовершеннолетних граждан в целях обеспечения роста профессиональной мобильности рабочей силы на рынке труда.   </w:t>
      </w:r>
    </w:p>
    <w:p>
      <w:pPr>
        <w:pStyle w:val="Normal"/>
        <w:ind w:left="720" w:right="0" w:hanging="0"/>
        <w:jc w:val="both"/>
        <w:rPr/>
      </w:pPr>
      <w:r>
        <w:rPr/>
      </w:r>
    </w:p>
    <w:p>
      <w:pPr>
        <w:pStyle w:val="Normal"/>
        <w:ind w:left="1080" w:right="0" w:hanging="0"/>
        <w:rPr/>
      </w:pPr>
      <w:r>
        <w:rPr>
          <w:b/>
          <w:color w:val="020001"/>
        </w:rPr>
        <w:t xml:space="preserve">III   </w:t>
      </w:r>
      <w:r>
        <w:rPr>
          <w:b/>
        </w:rPr>
        <w:t>Целевые индикаторы и показатели Подпрограммы – 3</w:t>
      </w:r>
    </w:p>
    <w:p>
      <w:pPr>
        <w:pStyle w:val="Normal"/>
        <w:ind w:left="0" w:right="0" w:firstLine="360"/>
        <w:jc w:val="both"/>
        <w:rPr/>
      </w:pPr>
      <w:r>
        <w:rPr/>
        <w:t>Достижение поставленной цели и задач Подпрограммы – 3 характеризуется следующим целевым показателем (индикатором):</w:t>
      </w:r>
    </w:p>
    <w:p>
      <w:pPr>
        <w:pStyle w:val="Normal"/>
        <w:jc w:val="both"/>
        <w:rPr/>
      </w:pPr>
      <w:r>
        <w:rPr/>
        <w:t>Рост количества временно трудоустроенных несовершеннолетних в 2021 году до 47% по отношению к 2016 году. Расчёт показателя: количество трудоустроенных / 17 (показатель 2016 года) * 100%. Показатель определяется каждый год по итогам отчётов исполнителей Программы.</w:t>
      </w:r>
    </w:p>
    <w:p>
      <w:pPr>
        <w:pStyle w:val="Normal"/>
        <w:suppressAutoHyphens w:val="true"/>
        <w:ind w:left="21" w:right="0" w:hanging="21"/>
        <w:jc w:val="center"/>
        <w:rPr>
          <w:b/>
          <w:b/>
          <w:bCs/>
        </w:rPr>
      </w:pPr>
      <w:r>
        <w:rPr>
          <w:b/>
          <w:bCs/>
          <w:u w:val="single" w:color="FFFFFF"/>
        </w:rPr>
        <w:t>Показателями результатов и эффективности Подпрограммы – 2 являются:</w:t>
      </w:r>
    </w:p>
    <w:p>
      <w:pPr>
        <w:pStyle w:val="Normal"/>
        <w:jc w:val="both"/>
        <w:rPr/>
      </w:pPr>
      <w:r>
        <w:rPr/>
        <w:t>- Доля несовершеннолетних граждан, получивших консультационные</w:t>
      </w:r>
      <w:r>
        <w:rPr>
          <w:b/>
          <w:color w:val="020001"/>
        </w:rPr>
        <w:t xml:space="preserve"> </w:t>
      </w:r>
      <w:r>
        <w:rPr>
          <w:color w:val="020001"/>
        </w:rPr>
        <w:t xml:space="preserve">услуги по вопросам трудоустройства и профориентации – </w:t>
      </w:r>
      <w:r>
        <w:rPr/>
        <w:t>показатель определяется на основании информации ГКУ РК «ЦЗН» в конце отчётного года. Расчёт показателя: количество обратившихся за консультациями несовершеннолетних от 14 до 18 лет / общее число несовершеннолетних от 14 до 18 лет в ЛМР * 100%.</w:t>
      </w:r>
    </w:p>
    <w:p>
      <w:pPr>
        <w:pStyle w:val="Normal"/>
        <w:suppressAutoHyphens w:val="true"/>
        <w:jc w:val="both"/>
        <w:rPr/>
      </w:pPr>
      <w:r>
        <w:rPr>
          <w:color w:val="020001"/>
        </w:rPr>
        <w:t xml:space="preserve">- Количество временно трудоустроенных несовершеннолетних – показатель определяется в соответствии с отчётом исполнителей Программы. </w:t>
      </w:r>
      <w:r>
        <w:rPr/>
        <w:t>Расчёт показателя: количество трудоустроенных за отчётный год / 17 (показатель 2016 года) * 100%.</w:t>
      </w:r>
    </w:p>
    <w:p>
      <w:pPr>
        <w:pStyle w:val="Normal"/>
        <w:jc w:val="both"/>
        <w:rPr>
          <w:color w:val="020001"/>
        </w:rPr>
      </w:pPr>
      <w:r>
        <w:rPr>
          <w:color w:val="020001"/>
        </w:rPr>
      </w:r>
    </w:p>
    <w:p>
      <w:pPr>
        <w:pStyle w:val="Normal"/>
        <w:spacing w:lineRule="auto" w:line="276" w:before="1" w:after="1"/>
        <w:jc w:val="center"/>
        <w:rPr>
          <w:b/>
          <w:b/>
          <w:color w:val="020001"/>
          <w:highlight w:val="white"/>
        </w:rPr>
      </w:pPr>
      <w:r>
        <w:rPr>
          <w:b/>
          <w:color w:val="020001"/>
          <w:highlight w:val="white"/>
        </w:rPr>
        <w:t>IV Приоритеты политики Администрации Лахденпохского муниципального района в сфере реализации муниципальной Подпрограммы – 3</w:t>
      </w:r>
    </w:p>
    <w:p>
      <w:pPr>
        <w:pStyle w:val="Normal"/>
        <w:ind w:left="0" w:right="0" w:firstLine="708"/>
        <w:jc w:val="both"/>
        <w:rPr/>
      </w:pPr>
      <w:r>
        <w:rPr/>
        <w:t>Организация временных рабочих мест для трудоустройства несовершеннолетних граждан способствует  решению задач социально-экономического развития Лахденпохского района.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>Основной целью организации временной занятости и трудоустройства несовершеннолетних граждан в возрасте от 14 до 18 лет (далее - «несовершеннолетних») является приобщение к труду, получение профессиональных навыков и адаптация к трудовой деятельности, содействие процессу социализации, решение проблемы занятости и трудоустройства в период каникул, предотвращение формирования у несовершеннолетних модели социально-опасного поведения.</w:t>
      </w:r>
    </w:p>
    <w:p>
      <w:pPr>
        <w:pStyle w:val="Normal"/>
        <w:ind w:left="0" w:right="0" w:firstLine="708"/>
        <w:jc w:val="both"/>
        <w:rPr/>
      </w:pPr>
      <w:r>
        <w:rPr/>
        <w:t>Администрация Лахденпохского муниципального района (в лице отдела социальной работы),  совместно с МУ «Районное управление образования и по делам молодежи», как главный  распорядитель средств бюджета Лахденпохского муниципального района в сфере образования,  и ГКУ РК «Центр занятости населения Лахденпохского района» проводят работу по обеспечению временной занятости и трудоустройства несовершеннолетних.</w:t>
      </w:r>
    </w:p>
    <w:p>
      <w:pPr>
        <w:pStyle w:val="Normal"/>
        <w:ind w:left="0" w:right="0" w:firstLine="708"/>
        <w:jc w:val="both"/>
        <w:rPr/>
      </w:pPr>
      <w:r>
        <w:rPr/>
        <w:t>Трудоустройство несовершеннолетних осуществляется в муниципальных   организациях Лахденпохского муниципального района.</w:t>
      </w:r>
    </w:p>
    <w:p>
      <w:pPr>
        <w:pStyle w:val="Normal"/>
        <w:ind w:left="0" w:right="0" w:firstLine="708"/>
        <w:jc w:val="both"/>
        <w:rPr/>
      </w:pPr>
      <w:r>
        <w:rPr/>
        <w:t>Приоритетным правом при трудоустройстве пользуются следующие категории несовершеннолетних:</w:t>
      </w:r>
    </w:p>
    <w:p>
      <w:pPr>
        <w:pStyle w:val="Normal"/>
        <w:jc w:val="both"/>
        <w:rPr/>
      </w:pPr>
      <w:r>
        <w:rPr/>
        <w:t>- дети-сироты и дети, оставшиеся без попечения родителей или лиц, их замещающих;</w:t>
      </w:r>
    </w:p>
    <w:p>
      <w:pPr>
        <w:pStyle w:val="Normal"/>
        <w:jc w:val="both"/>
        <w:rPr/>
      </w:pPr>
      <w:r>
        <w:rPr/>
        <w:t>-  несовершеннолетние из семей безработных граждан, малообеспеченных, многодетных, неполных и неблагополучных семей, семей беженцев и вынужденных переселенцев;</w:t>
      </w:r>
    </w:p>
    <w:p>
      <w:pPr>
        <w:pStyle w:val="Normal"/>
        <w:jc w:val="both"/>
        <w:rPr/>
      </w:pPr>
      <w:r>
        <w:rPr/>
        <w:t>- несовершеннолетние, состоящие на учете в комиссии по делам несовершеннолетних и защите их прав.</w:t>
      </w:r>
    </w:p>
    <w:p>
      <w:pPr>
        <w:pStyle w:val="Normal"/>
        <w:jc w:val="center"/>
        <w:rPr>
          <w:b/>
          <w:b/>
        </w:rPr>
      </w:pPr>
      <w:r>
        <w:rPr>
          <w:b/>
        </w:rPr>
        <w:t xml:space="preserve"> </w:t>
      </w:r>
      <w:r>
        <w:rPr>
          <w:b/>
        </w:rPr>
        <w:t>V  ПОРЯДОК и УСЛОВИЯ</w:t>
      </w:r>
    </w:p>
    <w:p>
      <w:pPr>
        <w:pStyle w:val="Normal"/>
        <w:jc w:val="center"/>
        <w:rPr>
          <w:b/>
          <w:b/>
        </w:rPr>
      </w:pPr>
      <w:r>
        <w:rPr>
          <w:b/>
        </w:rPr>
        <w:t xml:space="preserve">создания временных рабочих мест для несовершеннолетних граждан </w:t>
      </w:r>
    </w:p>
    <w:p>
      <w:pPr>
        <w:pStyle w:val="Normal"/>
        <w:jc w:val="both"/>
        <w:rPr/>
      </w:pPr>
      <w:r>
        <w:rPr/>
        <w:t>1.  Работа по организации временной занятости и трудоустройства несовершеннолетних осуществляется на основе изучения потребностей и мотиваций несовершеннолетних в трудоустройстве и занятости, и возможности работодателей обеспечить временные рабочие места для несовершеннолетних.</w:t>
      </w:r>
    </w:p>
    <w:p>
      <w:pPr>
        <w:pStyle w:val="Normal"/>
        <w:jc w:val="both"/>
        <w:rPr/>
      </w:pPr>
      <w:r>
        <w:rPr/>
        <w:t xml:space="preserve">2.  Количество свободных временных рабочих мест, на которых возможно использование труда несовершеннолетних, определяется на основе заявок, поступающих от образовательных организаций Лахденпохского района и в пределах выделенных бюджетных средств на реализацию программы.  </w:t>
      </w:r>
    </w:p>
    <w:p>
      <w:pPr>
        <w:pStyle w:val="Normal"/>
        <w:jc w:val="both"/>
        <w:rPr/>
      </w:pPr>
      <w:r>
        <w:rPr/>
        <w:t xml:space="preserve"> </w:t>
      </w:r>
      <w:r>
        <w:rPr/>
        <w:t>3.  Отдел социальной работы Администрации Лахденпохского муниципального района совместно с  ГКУ РК «Центр занятости населения Лахденпохского района»:</w:t>
      </w:r>
    </w:p>
    <w:p>
      <w:pPr>
        <w:pStyle w:val="Normal"/>
        <w:jc w:val="both"/>
        <w:rPr/>
      </w:pPr>
      <w:r>
        <w:rPr/>
        <w:t xml:space="preserve">- осуществляют предварительную подготовительную работу по созданию временных рабочих мест для несовершеннолетних граждан на территории Лахденпохского муниципального района в период каникул; </w:t>
      </w:r>
    </w:p>
    <w:p>
      <w:pPr>
        <w:pStyle w:val="Normal"/>
        <w:jc w:val="both"/>
        <w:rPr/>
      </w:pPr>
      <w:r>
        <w:rPr/>
        <w:t>- контролируют соблюдение и защиту работодателем трудовых прав несовершеннолетних,  в период работы в учреждении и порядка приема несовершеннолетних на временное рабочее место, ведение табеля учета рабочего времени с соблюдением нормы продолжительности рабочего времени для несовершеннолетних в возрасте от 14 до 18 лет согласно ст. 92, ст. 93, ст. 94  Трудового  кодекса РФ;</w:t>
      </w:r>
    </w:p>
    <w:p>
      <w:pPr>
        <w:pStyle w:val="Normal"/>
        <w:jc w:val="both"/>
        <w:rPr/>
      </w:pPr>
      <w:r>
        <w:rPr/>
        <w:t>4.  Трудоустройство несовершеннолетних осуществляется  организацией-работодателем согласно ст. 63 Трудового кодекса РФ, на основании трехстороннего Договора, заключенного между организацией,  с  ГКУ РК «Центр занятости населения Лахденпохского района» и МУ «Районное управление образования и по делам молодежи».</w:t>
      </w:r>
    </w:p>
    <w:p>
      <w:pPr>
        <w:pStyle w:val="Normal"/>
        <w:tabs>
          <w:tab w:val="clear" w:pos="720"/>
          <w:tab w:val="left" w:pos="426" w:leader="none"/>
        </w:tabs>
        <w:jc w:val="both"/>
        <w:rPr/>
      </w:pPr>
      <w:r>
        <w:rPr/>
        <w:t>5. Организация-работодатель, принявшая на временные рабочие места несовершеннолетних,  обеспечивает соблюдение требований и норм охраны труда.</w:t>
      </w:r>
    </w:p>
    <w:p>
      <w:pPr>
        <w:pStyle w:val="Normal"/>
        <w:jc w:val="both"/>
        <w:rPr/>
      </w:pPr>
      <w:r>
        <w:rPr/>
        <w:t>6.    В соответствии со ст. 271 Трудового кодекса Российской Федерации оплата труда работника в возрасте до восемнадцати лет, обучающихся в организациях, осуществляющих образовательную деятельность, и работающих в свободное от учебы время, производится пропорционально отработанному времени или в зависимости от выработки. Работодатель может устанавливать этим работникам доплаты к заработной плате за счет собственных средств.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spacing w:lineRule="auto" w:line="276"/>
        <w:ind w:left="720" w:right="0" w:hanging="0"/>
        <w:jc w:val="center"/>
        <w:rPr>
          <w:b/>
          <w:b/>
        </w:rPr>
      </w:pPr>
      <w:r>
        <w:rPr>
          <w:b/>
        </w:rPr>
        <w:t>VI    Порядок и формы возмещения затрат организации-работодателя по созданию временных рабочих мест</w:t>
      </w:r>
    </w:p>
    <w:p>
      <w:pPr>
        <w:pStyle w:val="Normal"/>
        <w:ind w:left="0" w:right="0" w:firstLine="708"/>
        <w:jc w:val="both"/>
        <w:rPr/>
      </w:pPr>
      <w:r>
        <w:rPr/>
        <w:t>Затраты по созданию временных рабочих мест (по выплате заработной платы несовершеннолетнему), возмещаются Администрацией   Лахденпохского муниципального района из расчета на 1 несовершеннолетнего не более одного минимального размера оплаты труда (МРОТ, установленный в порядке и на условиях, предусмотренных действующим законодательством) в месяц,  и отчислений  во внебюджетные фонды, и применение районного коэффициента – 1,15. Возмещение затрат по созданию временных рабочих мест производится за весь период фактически отработанного несовершеннолетним времени, но не более срока, на который заключен трудовой договор.</w:t>
      </w:r>
    </w:p>
    <w:p>
      <w:pPr>
        <w:pStyle w:val="Normal"/>
        <w:ind w:left="0" w:right="0" w:firstLine="543"/>
        <w:jc w:val="both"/>
        <w:rPr/>
      </w:pPr>
      <w:r>
        <w:rPr/>
        <w:t>Расходы на возмещение затрат по созданию временных рабочих мест финансируются за счет средств бюджета Лахденпохского муниципального района  в рамках реализации Программы.</w:t>
      </w:r>
    </w:p>
    <w:p>
      <w:pPr>
        <w:pStyle w:val="Normal"/>
        <w:ind w:left="0" w:right="0" w:firstLine="543"/>
        <w:jc w:val="both"/>
        <w:rPr/>
      </w:pPr>
      <w:r>
        <w:rPr/>
      </w:r>
    </w:p>
    <w:p>
      <w:pPr>
        <w:pStyle w:val="Normal"/>
        <w:tabs>
          <w:tab w:val="clear" w:pos="720"/>
          <w:tab w:val="left" w:pos="902" w:leader="none"/>
        </w:tabs>
        <w:spacing w:lineRule="auto" w:line="271"/>
        <w:ind w:left="5" w:right="19" w:firstLine="538"/>
        <w:jc w:val="center"/>
        <w:rPr>
          <w:b/>
          <w:b/>
          <w:highlight w:val="white"/>
        </w:rPr>
      </w:pPr>
      <w:r>
        <w:rPr>
          <w:b/>
          <w:highlight w:val="white"/>
        </w:rPr>
        <w:t xml:space="preserve">VII  Обоснование потребностей в бюджетных ресурсах для достижения целей и результатов подпрограммы </w:t>
      </w:r>
    </w:p>
    <w:p>
      <w:pPr>
        <w:pStyle w:val="Normal"/>
        <w:ind w:left="0" w:right="0" w:firstLine="543"/>
        <w:jc w:val="both"/>
        <w:rPr/>
      </w:pPr>
      <w:r>
        <w:rPr/>
        <w:t>Расчет бюджетных средств по созданию временных рабочих мест:</w:t>
      </w:r>
    </w:p>
    <w:p>
      <w:pPr>
        <w:pStyle w:val="Normal"/>
        <w:jc w:val="both"/>
        <w:rPr/>
      </w:pPr>
      <w:r>
        <w:rPr/>
        <w:t>За выполнение обязанностей, предусмотренных срочным трудовым Договором между организацией – работодателем и несовершеннолетним выплачивается в соответствии с Федеральным законом от 2 июня 2016 г. № 164-ФЗ,  статьей 48 Трудового кодекса РФ).</w:t>
      </w:r>
    </w:p>
    <w:p>
      <w:pPr>
        <w:pStyle w:val="Normal"/>
        <w:jc w:val="both"/>
        <w:rPr/>
      </w:pPr>
      <w:r>
        <w:rPr/>
        <w:t>По состоянию на 2017 год потребность исчисляется следующим образом:</w:t>
      </w:r>
    </w:p>
    <w:p>
      <w:pPr>
        <w:pStyle w:val="Normal"/>
        <w:jc w:val="both"/>
        <w:rPr/>
      </w:pPr>
      <w:r>
        <w:rPr/>
        <w:t>- оклад (месячная тарифная ставка) в размере 7800 руб. в месяц.</w:t>
      </w:r>
    </w:p>
    <w:p>
      <w:pPr>
        <w:pStyle w:val="Normal"/>
        <w:jc w:val="both"/>
        <w:rPr/>
      </w:pPr>
      <w:r>
        <w:rPr/>
        <w:t>Итого с учётом районного коэффициента и отчислений на одну ставку за полный отработанный месяц предусмотрено – 11678,94  рублей.</w:t>
      </w:r>
    </w:p>
    <w:p>
      <w:pPr>
        <w:pStyle w:val="Normal"/>
        <w:jc w:val="both"/>
        <w:rPr/>
      </w:pPr>
      <w:r>
        <w:rPr/>
        <w:t>Ставок на создание временных рабочих мест вычисляется по формуле:  сумма выделенных средств по программе / сумму заработной платы с отчислениями на одного человека.</w:t>
      </w:r>
    </w:p>
    <w:p>
      <w:pPr>
        <w:pStyle w:val="Normal"/>
        <w:jc w:val="both"/>
        <w:rPr/>
      </w:pPr>
      <w:r>
        <w:rPr/>
        <w:t>При  изменении размера МРОТ,  соответственно количество ставок изменится.  В зависимости от количества создаваемых ставок в программе предусматривается целевой индикатор – количество трудоустроенных несовершеннолетних на создаваемых ставках.</w:t>
      </w:r>
    </w:p>
    <w:p>
      <w:pPr>
        <w:pStyle w:val="Normal"/>
        <w:ind w:left="0" w:right="0" w:firstLine="708"/>
        <w:jc w:val="both"/>
        <w:rPr/>
      </w:pPr>
      <w:r>
        <w:rPr/>
        <w:t>Расходы на возмещение затрат по созданию временных рабочих мест для несовершеннолетних осуществляются на основании реализации Подпрограммы 3 между организацией-работодателем, МУ «Районное управление образования и по делам молодежи» и ГКУ РК «Центр занятости населения Лахденпохского района».</w:t>
      </w:r>
    </w:p>
    <w:p>
      <w:pPr>
        <w:pStyle w:val="Normal"/>
        <w:ind w:left="0" w:right="0" w:firstLine="708"/>
        <w:jc w:val="both"/>
        <w:rPr/>
      </w:pPr>
      <w:r>
        <w:rPr/>
        <w:t>Перечисление денежных средств в пределах выделенных бюджетных ассигнований из бюджета Лахденпохского муниципального района на счет организации-работодателя, создающего временные рабочие места для несовершеннолетних, осуществляется после предоставления в  МУ «Районное управление образования и по делам молодежи» пакета документов:</w:t>
      </w:r>
    </w:p>
    <w:p>
      <w:pPr>
        <w:pStyle w:val="Normal"/>
        <w:jc w:val="both"/>
        <w:rPr/>
      </w:pPr>
      <w:r>
        <w:rPr/>
        <w:t>-  приказ о приеме несовершеннолетнего работника на работу;</w:t>
      </w:r>
    </w:p>
    <w:p>
      <w:pPr>
        <w:pStyle w:val="Normal"/>
        <w:jc w:val="both"/>
        <w:rPr/>
      </w:pPr>
      <w:r>
        <w:rPr/>
        <w:t>-  табель учета и использования рабочего времени;</w:t>
      </w:r>
    </w:p>
    <w:p>
      <w:pPr>
        <w:pStyle w:val="Normal"/>
        <w:jc w:val="both"/>
        <w:rPr/>
      </w:pPr>
      <w:r>
        <w:rPr/>
        <w:t>- трехсторонний Договор между организацией-работодателем, МУ «Районное управление образования и по делам молодежи» и ГКУ РК «Центр занятости населения Лахденпохского района «О совместной деятельности по организации трудоустройства несовершеннолетних граждан»;</w:t>
      </w:r>
    </w:p>
    <w:p>
      <w:pPr>
        <w:pStyle w:val="Normal"/>
        <w:jc w:val="both"/>
        <w:rPr/>
      </w:pPr>
      <w:r>
        <w:rPr/>
        <w:t>- срочный трудовой Договор.</w:t>
      </w:r>
    </w:p>
    <w:p>
      <w:pPr>
        <w:pStyle w:val="Normal"/>
        <w:ind w:left="0" w:right="0" w:firstLine="708"/>
        <w:jc w:val="both"/>
        <w:rPr/>
      </w:pPr>
      <w:r>
        <w:rPr/>
        <w:t>Руководители организации-работодателя несут ответственность за целевое использование средств, выделенных на организацию временной занятости несовершеннолетних.</w:t>
      </w:r>
    </w:p>
    <w:p>
      <w:pPr>
        <w:pStyle w:val="Normal"/>
        <w:ind w:left="0" w:right="0" w:firstLine="708"/>
        <w:jc w:val="both"/>
        <w:rPr/>
      </w:pPr>
      <w:r>
        <w:rPr/>
        <w:t xml:space="preserve">Потребность в бюджетных ресурсах Лахденпохского муниципального района для реализации Подпрограммы 3  составляет 980  тысяч  рублей.  </w:t>
      </w:r>
    </w:p>
    <w:p>
      <w:pPr>
        <w:pStyle w:val="Normal"/>
        <w:ind w:left="0" w:right="0" w:firstLine="708"/>
        <w:jc w:val="both"/>
        <w:rPr/>
      </w:pPr>
      <w:r>
        <w:rPr/>
      </w:r>
    </w:p>
    <w:p>
      <w:pPr>
        <w:pStyle w:val="Normal"/>
        <w:ind w:left="0" w:right="0" w:firstLine="708"/>
        <w:jc w:val="both"/>
        <w:rPr/>
      </w:pPr>
      <w:r>
        <w:rPr/>
      </w:r>
    </w:p>
    <w:p>
      <w:pPr>
        <w:pStyle w:val="Normal"/>
        <w:ind w:left="0" w:right="0" w:firstLine="708"/>
        <w:jc w:val="both"/>
        <w:rPr/>
      </w:pPr>
      <w:r>
        <w:rPr/>
      </w:r>
    </w:p>
    <w:p>
      <w:pPr>
        <w:pStyle w:val="Normal"/>
        <w:ind w:left="0" w:right="0" w:firstLine="708"/>
        <w:jc w:val="both"/>
        <w:rPr/>
      </w:pPr>
      <w:r>
        <w:rPr/>
      </w:r>
    </w:p>
    <w:p>
      <w:pPr>
        <w:pStyle w:val="Normal"/>
        <w:ind w:left="0" w:right="0" w:firstLine="708"/>
        <w:jc w:val="both"/>
        <w:rPr/>
      </w:pPr>
      <w:r>
        <w:rPr/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VIII  Прогноз конечных результатов Подпрограммы – 3</w:t>
      </w:r>
    </w:p>
    <w:p>
      <w:pPr>
        <w:pStyle w:val="Normal"/>
        <w:tabs>
          <w:tab w:val="clear" w:pos="720"/>
          <w:tab w:val="left" w:pos="567" w:leader="none"/>
        </w:tabs>
        <w:jc w:val="both"/>
        <w:rPr/>
      </w:pPr>
      <w:r>
        <w:rPr/>
        <w:t xml:space="preserve">            </w:t>
      </w:r>
      <w:r>
        <w:rPr/>
        <w:t>По прогнозным оценкам реализация  Подпрограммы – 3 в силу социального характера позволит повысить уровень социальной защищенности населения, обеспечивая как принятие своевременных мер по предотвращению кризисных явлений, так и снижение их негативных последствий для граждан в Лахденпохском муниципальном районе, сохранение стабильности социального самочувствия граждан. Повышение уровня социальной защищенности, свидетельствующее об удовлетворении потребностей граждан, улучшит социальную обстановку в обществе.</w:t>
      </w:r>
    </w:p>
    <w:p>
      <w:pPr>
        <w:pStyle w:val="Normal"/>
        <w:tabs>
          <w:tab w:val="clear" w:pos="720"/>
          <w:tab w:val="left" w:pos="567" w:leader="none"/>
        </w:tabs>
        <w:jc w:val="both"/>
        <w:rPr/>
      </w:pPr>
      <w:r>
        <w:rPr/>
      </w:r>
    </w:p>
    <w:tbl>
      <w:tblPr>
        <w:tblW w:w="957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792"/>
        <w:gridCol w:w="5778"/>
      </w:tblGrid>
      <w:tr>
        <w:trPr>
          <w:trHeight w:val="603" w:hRule="atLeast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>Конечные  результаты Подпрограммы -3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>1.</w:t>
            </w:r>
            <w:r>
              <w:rPr>
                <w:sz w:val="20"/>
              </w:rPr>
              <w:t xml:space="preserve"> </w:t>
            </w:r>
            <w:r>
              <w:rPr/>
              <w:t>Доля несовершеннолетних граждан, получивших  консультационные услуги по вопросам трудоустройства и профориентации;</w:t>
            </w:r>
          </w:p>
          <w:p>
            <w:pPr>
              <w:pStyle w:val="Normal"/>
              <w:jc w:val="both"/>
              <w:rPr/>
            </w:pPr>
            <w:r>
              <w:rPr/>
              <w:t>2. Количество трудоустроенных несовершеннолетних  не менее 83 человек за период действия программы</w:t>
            </w:r>
          </w:p>
        </w:tc>
      </w:tr>
    </w:tbl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  <w:t>Таблица 1</w:t>
      </w:r>
    </w:p>
    <w:p>
      <w:pPr>
        <w:pStyle w:val="Normal"/>
        <w:jc w:val="center"/>
        <w:rPr>
          <w:b/>
          <w:b/>
          <w:sz w:val="22"/>
        </w:rPr>
      </w:pPr>
      <w:r>
        <w:rPr>
          <w:b/>
          <w:sz w:val="22"/>
        </w:rPr>
        <w:t>Сведения</w:t>
      </w:r>
    </w:p>
    <w:p>
      <w:pPr>
        <w:pStyle w:val="Normal"/>
        <w:jc w:val="center"/>
        <w:rPr>
          <w:b/>
          <w:b/>
          <w:sz w:val="22"/>
        </w:rPr>
      </w:pPr>
      <w:r>
        <w:rPr>
          <w:b/>
          <w:sz w:val="22"/>
        </w:rPr>
        <w:t xml:space="preserve">о показателях (индикаторах) муниципальной программы «Развитие сферы культуры и организация работы с молодёжью </w:t>
      </w:r>
    </w:p>
    <w:p>
      <w:pPr>
        <w:pStyle w:val="Normal"/>
        <w:jc w:val="center"/>
        <w:rPr>
          <w:b/>
          <w:b/>
          <w:sz w:val="22"/>
        </w:rPr>
      </w:pPr>
      <w:r>
        <w:rPr>
          <w:b/>
          <w:sz w:val="22"/>
        </w:rPr>
        <w:t>в Лахденпохском муниципальном районе» на 2017-2021 годы  и ее значениях</w:t>
      </w:r>
    </w:p>
    <w:p>
      <w:pPr>
        <w:pStyle w:val="Normal"/>
        <w:ind w:left="0" w:right="0" w:firstLine="540"/>
        <w:jc w:val="both"/>
        <w:rPr>
          <w:sz w:val="22"/>
        </w:rPr>
      </w:pPr>
      <w:r>
        <w:rPr>
          <w:sz w:val="22"/>
        </w:rPr>
      </w:r>
    </w:p>
    <w:tbl>
      <w:tblPr>
        <w:tblW w:w="18000" w:type="dxa"/>
        <w:jc w:val="left"/>
        <w:tblInd w:w="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0" w:type="dxa"/>
          <w:left w:w="61" w:type="dxa"/>
          <w:bottom w:w="0" w:type="dxa"/>
          <w:right w:w="70" w:type="dxa"/>
        </w:tblCellMar>
      </w:tblPr>
      <w:tblGrid>
        <w:gridCol w:w="421"/>
        <w:gridCol w:w="2378"/>
        <w:gridCol w:w="2593"/>
        <w:gridCol w:w="1052"/>
        <w:gridCol w:w="655"/>
        <w:gridCol w:w="1391"/>
        <w:gridCol w:w="1363"/>
        <w:gridCol w:w="421"/>
        <w:gridCol w:w="864"/>
        <w:gridCol w:w="1341"/>
        <w:gridCol w:w="3386"/>
        <w:gridCol w:w="968"/>
        <w:gridCol w:w="7"/>
        <w:gridCol w:w="1157"/>
      </w:tblGrid>
      <w:tr>
        <w:trPr>
          <w:trHeight w:val="315" w:hRule="atLeast"/>
          <w:cantSplit w:val="true"/>
        </w:trPr>
        <w:tc>
          <w:tcPr>
            <w:tcW w:w="4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r>
              <w:rPr>
                <w:sz w:val="20"/>
              </w:rPr>
              <w:br/>
              <w:t>п/п</w:t>
            </w:r>
          </w:p>
        </w:tc>
        <w:tc>
          <w:tcPr>
            <w:tcW w:w="23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цели (задачи)</w:t>
            </w:r>
          </w:p>
        </w:tc>
        <w:tc>
          <w:tcPr>
            <w:tcW w:w="25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Показатель (индикатор) (наименование)</w:t>
            </w:r>
          </w:p>
        </w:tc>
        <w:tc>
          <w:tcPr>
            <w:tcW w:w="170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Ед. измерения</w:t>
            </w:r>
          </w:p>
        </w:tc>
        <w:tc>
          <w:tcPr>
            <w:tcW w:w="97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Значения показателей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Отношение значения показателя последнего года реализации программы к отчетному</w:t>
            </w:r>
          </w:p>
        </w:tc>
      </w:tr>
      <w:tr>
        <w:trPr>
          <w:trHeight w:val="1592" w:hRule="atLeast"/>
          <w:cantSplit w:val="true"/>
        </w:trPr>
        <w:tc>
          <w:tcPr>
            <w:tcW w:w="42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93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7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2016 год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(отчётный год)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 год</w:t>
            </w:r>
          </w:p>
        </w:tc>
        <w:tc>
          <w:tcPr>
            <w:tcW w:w="12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2018 год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2019 год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ind w:left="0" w:right="2210" w:hanging="0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2020 год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2021 год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  <w:cantSplit w:val="true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</w:tr>
      <w:tr>
        <w:trPr>
          <w:trHeight w:val="240" w:hRule="atLeast"/>
          <w:cantSplit w:val="true"/>
        </w:trPr>
        <w:tc>
          <w:tcPr>
            <w:tcW w:w="1799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Муниципальная программа «Развитие сферы культуры и организация работы с молодёжью в Лахденпохском муниципальном районе»</w:t>
            </w:r>
          </w:p>
        </w:tc>
      </w:tr>
      <w:tr>
        <w:trPr>
          <w:trHeight w:val="240" w:hRule="atLeast"/>
          <w:cantSplit w:val="true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7576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 xml:space="preserve">Цель 1: </w:t>
            </w:r>
            <w:r>
              <w:rPr>
                <w:sz w:val="20"/>
              </w:rPr>
              <w:t>Сохранение культурного и исторического наследия района, обеспечение доступа граждан к культурным ценностям и информации, создание условий для обеспечения услугами муниципальных учреждений культуры жителей Лахденпохского муниципального района</w:t>
            </w:r>
          </w:p>
        </w:tc>
      </w:tr>
      <w:tr>
        <w:trPr>
          <w:trHeight w:val="2070" w:hRule="atLeast"/>
          <w:cantSplit w:val="true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Задача 1: </w:t>
            </w:r>
            <w:r>
              <w:rPr>
                <w:sz w:val="20"/>
              </w:rPr>
              <w:t>Сохранение культурного и исторического наследия района, обеспечение доступа граждан к культурным ценностям и участию в культурной жизни, реализация творческого потенциала для граждан  района.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Показатель результата 1: </w:t>
            </w:r>
            <w:r>
              <w:rPr>
                <w:sz w:val="20"/>
              </w:rPr>
              <w:t>Количество объектов воинских захоронений, расположенных на территории сельских поселений района, на которых проведены работы по ремонту (с нарастающим итогом)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8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ind w:left="0" w:right="1756" w:hanging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600%</w:t>
            </w:r>
          </w:p>
        </w:tc>
      </w:tr>
      <w:tr>
        <w:trPr>
          <w:trHeight w:val="1560" w:hRule="atLeast"/>
          <w:cantSplit w:val="true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Задача 2: </w:t>
            </w:r>
            <w:r>
              <w:rPr>
                <w:sz w:val="20"/>
              </w:rPr>
              <w:t>Поддержка и развитие художественно-творческой деятельности.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Показатель результата 2: </w:t>
            </w:r>
            <w:r>
              <w:rPr>
                <w:sz w:val="20"/>
              </w:rPr>
              <w:t>рост удовлетворённости населения качеством услуг муниципальных учреждений, предоставляемых в сфере культуры.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12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92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94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110%</w:t>
            </w:r>
          </w:p>
        </w:tc>
      </w:tr>
      <w:tr>
        <w:trPr>
          <w:trHeight w:val="131" w:hRule="atLeast"/>
          <w:cantSplit w:val="true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7576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 xml:space="preserve">Цель 2: </w:t>
            </w:r>
            <w:r>
              <w:rPr>
                <w:sz w:val="20"/>
              </w:rPr>
              <w:t>Развитие потенциала и интеграция молодёжи в социально-экономическую, культурную и общественную жизнь района</w:t>
            </w:r>
          </w:p>
        </w:tc>
      </w:tr>
      <w:tr>
        <w:trPr>
          <w:trHeight w:val="1071" w:hRule="atLeast"/>
          <w:cantSplit w:val="true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Задача 3: </w:t>
            </w:r>
            <w:r>
              <w:rPr>
                <w:sz w:val="20"/>
              </w:rPr>
              <w:t>Создание условий для развития социальной активности молодёжи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>Показатель результата 3:</w:t>
            </w:r>
            <w:r>
              <w:rPr>
                <w:sz w:val="20"/>
              </w:rPr>
              <w:t xml:space="preserve"> Рост доли молодёжи, вовлечённых в мероприятия программы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Процент 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2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120%</w:t>
            </w:r>
          </w:p>
        </w:tc>
      </w:tr>
      <w:tr>
        <w:trPr>
          <w:trHeight w:val="1071" w:hRule="atLeast"/>
          <w:cantSplit w:val="true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>Задача 4:</w:t>
            </w:r>
            <w:r>
              <w:rPr>
                <w:sz w:val="20"/>
              </w:rPr>
              <w:t xml:space="preserve"> Организация временной занятости и трудоустройства несовершеннолетних граждан в возрасте от 14 до 18 лет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Показатель результата 4: </w:t>
            </w:r>
            <w:r>
              <w:rPr>
                <w:sz w:val="20"/>
              </w:rPr>
              <w:t>Рост количества временно трудоустроенных несовершеннолетних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2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150%</w:t>
            </w:r>
          </w:p>
        </w:tc>
      </w:tr>
      <w:tr>
        <w:trPr>
          <w:trHeight w:val="240" w:hRule="atLeast"/>
          <w:cantSplit w:val="true"/>
        </w:trPr>
        <w:tc>
          <w:tcPr>
            <w:tcW w:w="1799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Подпрограмма 1 «Развитие муниципальных учреждений в сфере культуры»</w:t>
            </w:r>
          </w:p>
        </w:tc>
      </w:tr>
      <w:tr>
        <w:trPr>
          <w:trHeight w:val="1729" w:hRule="atLeast"/>
          <w:cantSplit w:val="true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695" w:leader="none"/>
              </w:tabs>
              <w:jc w:val="both"/>
              <w:rPr/>
            </w:pPr>
            <w:r>
              <w:rPr>
                <w:b/>
                <w:sz w:val="20"/>
              </w:rPr>
              <w:t xml:space="preserve">Цель: </w:t>
            </w:r>
            <w:r>
              <w:rPr>
                <w:sz w:val="20"/>
              </w:rPr>
              <w:t>Повышение эффективности деятельности муниципальных учреждений культуры и сохранение культурного и исторического наследия.</w:t>
            </w:r>
          </w:p>
        </w:tc>
        <w:tc>
          <w:tcPr>
            <w:tcW w:w="3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>Целевой индикатор:</w:t>
            </w:r>
            <w:r>
              <w:rPr>
                <w:sz w:val="20"/>
              </w:rPr>
              <w:t xml:space="preserve"> рост востребованности населением услуг муниципальных учреждений культуры и искусства.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Процент 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7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112%</w:t>
            </w:r>
          </w:p>
        </w:tc>
      </w:tr>
      <w:tr>
        <w:trPr>
          <w:trHeight w:val="1568" w:hRule="atLeast"/>
          <w:cantSplit w:val="true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1.1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3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Задача 1: </w:t>
            </w:r>
            <w:r>
              <w:rPr>
                <w:sz w:val="20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3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Показатель результата 1: </w:t>
            </w:r>
            <w:r>
              <w:rPr>
                <w:sz w:val="20"/>
              </w:rPr>
              <w:t>количество объектов воинских захоронений, расположенных на территории сельских поселений района, на которых проведены работы по ремонту.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Кол-во 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600%</w:t>
            </w:r>
          </w:p>
        </w:tc>
      </w:tr>
      <w:tr>
        <w:trPr>
          <w:trHeight w:val="1450" w:hRule="atLeast"/>
          <w:cantSplit w:val="true"/>
        </w:trPr>
        <w:tc>
          <w:tcPr>
            <w:tcW w:w="42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3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4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both"/>
              <w:rPr/>
            </w:pPr>
            <w:r>
              <w:rPr>
                <w:b/>
                <w:sz w:val="20"/>
              </w:rPr>
              <w:t xml:space="preserve">Показатель результата 2: </w:t>
            </w:r>
            <w:r>
              <w:rPr>
                <w:sz w:val="20"/>
              </w:rPr>
              <w:t xml:space="preserve">Количество представленных (во всех формах) зрителю музейных предметов в общем количестве музейных предметов основного фонда 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700</w:t>
            </w:r>
          </w:p>
        </w:tc>
        <w:tc>
          <w:tcPr>
            <w:tcW w:w="17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750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850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900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950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136%</w:t>
            </w:r>
          </w:p>
        </w:tc>
      </w:tr>
      <w:tr>
        <w:trPr>
          <w:trHeight w:val="694" w:hRule="atLeast"/>
          <w:cantSplit w:val="true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3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4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both"/>
              <w:rPr/>
            </w:pPr>
            <w:r>
              <w:rPr>
                <w:b/>
                <w:sz w:val="20"/>
              </w:rPr>
              <w:t xml:space="preserve">Показатель результата 3: </w:t>
            </w:r>
            <w:r>
              <w:rPr>
                <w:sz w:val="20"/>
              </w:rPr>
              <w:t>количество посетителей краеведческого центра.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Человек (тыс.)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4,8</w:t>
            </w:r>
          </w:p>
        </w:tc>
        <w:tc>
          <w:tcPr>
            <w:tcW w:w="17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4,9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5,1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5,2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5,3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110%</w:t>
            </w:r>
          </w:p>
        </w:tc>
      </w:tr>
      <w:tr>
        <w:trPr>
          <w:trHeight w:val="978" w:hRule="atLeast"/>
          <w:cantSplit w:val="true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3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4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both"/>
              <w:rPr/>
            </w:pPr>
            <w:r>
              <w:rPr>
                <w:b/>
                <w:sz w:val="20"/>
              </w:rPr>
              <w:t xml:space="preserve">Показатель результата 4: </w:t>
            </w:r>
            <w:r>
              <w:rPr>
                <w:sz w:val="20"/>
              </w:rPr>
              <w:t>количество экземпляров обновленного библиотечного фонда муниципальной библиотеки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Кол-во 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157</w:t>
            </w:r>
          </w:p>
        </w:tc>
        <w:tc>
          <w:tcPr>
            <w:tcW w:w="17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157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157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210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262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315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200%</w:t>
            </w:r>
          </w:p>
        </w:tc>
      </w:tr>
      <w:tr>
        <w:trPr>
          <w:trHeight w:val="687" w:hRule="atLeast"/>
          <w:cantSplit w:val="true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1.</w:t>
            </w:r>
            <w:r>
              <w:rPr>
                <w:color w:val="020001"/>
                <w:sz w:val="20"/>
              </w:rPr>
              <w:t>5</w:t>
            </w:r>
          </w:p>
        </w:tc>
        <w:tc>
          <w:tcPr>
            <w:tcW w:w="23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4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both"/>
              <w:rPr/>
            </w:pPr>
            <w:r>
              <w:rPr>
                <w:b/>
                <w:sz w:val="20"/>
              </w:rPr>
              <w:t xml:space="preserve">Показатель результата 5: </w:t>
            </w:r>
            <w:r>
              <w:rPr>
                <w:sz w:val="20"/>
              </w:rPr>
              <w:t>количество посещений муниципальной библиотеки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Человек (тыс.)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13,0</w:t>
            </w:r>
          </w:p>
        </w:tc>
        <w:tc>
          <w:tcPr>
            <w:tcW w:w="17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13,1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13,2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13,3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13,4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13,5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104%</w:t>
            </w:r>
          </w:p>
        </w:tc>
      </w:tr>
      <w:tr>
        <w:trPr>
          <w:trHeight w:val="1112" w:hRule="atLeast"/>
          <w:cantSplit w:val="true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3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4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both"/>
              <w:rPr/>
            </w:pPr>
            <w:r>
              <w:rPr>
                <w:b/>
                <w:sz w:val="20"/>
              </w:rPr>
              <w:t xml:space="preserve">Показатель результата 6: </w:t>
            </w:r>
            <w:r>
              <w:rPr>
                <w:sz w:val="20"/>
              </w:rPr>
              <w:t>количество рабочих мест в муниципальных учреждениях культуры с доступом к сети Интернет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</w:tr>
      <w:tr>
        <w:trPr>
          <w:trHeight w:val="240" w:hRule="atLeast"/>
          <w:cantSplit w:val="true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23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Задача 2: </w:t>
            </w:r>
            <w:r>
              <w:rPr>
                <w:sz w:val="20"/>
              </w:rPr>
              <w:t>поддержка и развитие художественно-творческой деятельности и реализация творческого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потенциала жителей района.</w:t>
            </w:r>
          </w:p>
        </w:tc>
        <w:tc>
          <w:tcPr>
            <w:tcW w:w="3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Показатель результата 7: </w:t>
            </w:r>
            <w:r>
              <w:rPr>
                <w:sz w:val="20"/>
              </w:rPr>
              <w:t>доля детей, привлекаемых к участию в творческих мероприятиях, в общем количестве детей.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Процент 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7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200%</w:t>
            </w:r>
          </w:p>
        </w:tc>
      </w:tr>
      <w:tr>
        <w:trPr>
          <w:trHeight w:val="240" w:hRule="atLeast"/>
          <w:cantSplit w:val="true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23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Показатель результата 8: </w:t>
            </w:r>
            <w:r>
              <w:rPr>
                <w:sz w:val="20"/>
              </w:rPr>
              <w:t>доля победителей и призёров конкурсов, фестивалей, выставок различного статуса среди учащихся детских школ искусств.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Процент 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7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178%</w:t>
            </w:r>
          </w:p>
        </w:tc>
      </w:tr>
      <w:tr>
        <w:trPr>
          <w:trHeight w:val="240" w:hRule="atLeast"/>
          <w:cantSplit w:val="true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w="23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Показатель результата 9: </w:t>
            </w:r>
            <w:r>
              <w:rPr>
                <w:sz w:val="20"/>
              </w:rPr>
              <w:t>количество мероприятий, направленных на развитие культуры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300%</w:t>
            </w:r>
          </w:p>
        </w:tc>
      </w:tr>
      <w:tr>
        <w:trPr>
          <w:trHeight w:val="240" w:hRule="atLeast"/>
          <w:cantSplit w:val="true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2.4</w:t>
            </w:r>
          </w:p>
        </w:tc>
        <w:tc>
          <w:tcPr>
            <w:tcW w:w="23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Показатель результата 10: </w:t>
            </w:r>
            <w:r>
              <w:rPr>
                <w:sz w:val="20"/>
              </w:rPr>
              <w:t>рост охвата населения, участвующих в культурно-досуговых мероприятиях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Проценты 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7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171%</w:t>
            </w:r>
          </w:p>
        </w:tc>
      </w:tr>
      <w:tr>
        <w:trPr>
          <w:trHeight w:val="240" w:hRule="atLeast"/>
          <w:cantSplit w:val="true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>Задача 3:</w:t>
            </w:r>
            <w:r>
              <w:rPr>
                <w:sz w:val="20"/>
              </w:rPr>
              <w:t xml:space="preserve"> укрепление материально-технической базы муниципальных учреждений культуры</w:t>
            </w:r>
          </w:p>
        </w:tc>
        <w:tc>
          <w:tcPr>
            <w:tcW w:w="3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Показатель результата 11: </w:t>
            </w:r>
            <w:r>
              <w:rPr>
                <w:sz w:val="20"/>
              </w:rPr>
              <w:t xml:space="preserve">мероприятия, направленные на оснащение материально-технической базы (программное обеспечение, компьютеры, </w:t>
            </w:r>
            <w:r>
              <w:rPr>
                <w:sz w:val="20"/>
                <w:highlight w:val="white"/>
              </w:rPr>
              <w:t>экспозиционно-выставочное оборудование, текущий ремонт</w:t>
            </w:r>
            <w:r>
              <w:rPr>
                <w:sz w:val="20"/>
              </w:rPr>
              <w:t>)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</w:tr>
      <w:tr>
        <w:trPr>
          <w:trHeight w:val="240" w:hRule="atLeast"/>
          <w:cantSplit w:val="true"/>
        </w:trPr>
        <w:tc>
          <w:tcPr>
            <w:tcW w:w="1799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Подпрограмма 2 «Комплексные мероприятия в области работы с молодёжью»</w:t>
            </w:r>
          </w:p>
        </w:tc>
      </w:tr>
      <w:tr>
        <w:trPr>
          <w:trHeight w:val="240" w:hRule="atLeast"/>
          <w:cantSplit w:val="true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 xml:space="preserve">Цель: 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Развитие активности молодежи в общественной жизни Лахденпохского муниципального района</w:t>
            </w:r>
          </w:p>
        </w:tc>
        <w:tc>
          <w:tcPr>
            <w:tcW w:w="3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>Целевой индикатор: у</w:t>
            </w:r>
            <w:r>
              <w:rPr>
                <w:sz w:val="20"/>
              </w:rPr>
              <w:t xml:space="preserve">в. доли молодежи ЛМР в возрасте от 14 до 30 лет, участвующей в мероприятиях программы, в общей численности молодежи 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7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120%</w:t>
            </w:r>
          </w:p>
        </w:tc>
      </w:tr>
      <w:tr>
        <w:trPr>
          <w:trHeight w:val="2105" w:hRule="atLeast"/>
          <w:cantSplit w:val="true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1.1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3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Задача 1: </w:t>
            </w:r>
            <w:r>
              <w:rPr>
                <w:sz w:val="20"/>
              </w:rPr>
              <w:t>создание условий для успешной социализации и эффективной самореализации молодёжи района, развитие потенциала молодёжи в интересах социально-экономического развития района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Показатель результата 1: </w:t>
            </w:r>
            <w:r>
              <w:rPr>
                <w:sz w:val="20"/>
              </w:rPr>
              <w:t>доля молодежи Лахденпохского муниципального района в возрасте от 14 до 30 лет, участвующей в мероприятиях программы, посвященных укреплению института семьи.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Процент 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78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10,5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10,7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11,5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120%</w:t>
            </w:r>
          </w:p>
        </w:tc>
      </w:tr>
      <w:tr>
        <w:trPr>
          <w:trHeight w:val="2414" w:hRule="atLeast"/>
          <w:cantSplit w:val="true"/>
        </w:trPr>
        <w:tc>
          <w:tcPr>
            <w:tcW w:w="42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1.2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3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4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Показатель результат 2: </w:t>
            </w:r>
            <w:r>
              <w:rPr>
                <w:sz w:val="20"/>
              </w:rPr>
              <w:t>доля молодежи Лахденпохского муниципального района в возрасте от 14 до 30 лет, участвующей в мероприятиях программы, направленных на социальную активность и самостоятельность молодежи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Процент 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139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78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10,5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10,7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11,5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16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120%</w:t>
            </w:r>
          </w:p>
        </w:tc>
      </w:tr>
      <w:tr>
        <w:trPr>
          <w:trHeight w:val="2404" w:hRule="atLeast"/>
          <w:cantSplit w:val="true"/>
        </w:trPr>
        <w:tc>
          <w:tcPr>
            <w:tcW w:w="42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3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4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Показатель результата 3: </w:t>
            </w:r>
            <w:r>
              <w:rPr>
                <w:sz w:val="20"/>
              </w:rPr>
              <w:t>доля молодежи Лахденпохского муниципального района в возрасте от 14 до 30 лет, участвующей в мероприятиях программы, направленных на разностороннее развитие молодых людей, их творческих способностей, самореализации личности, формирование здорового образа жизни.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Процент 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78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16,2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16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120%</w:t>
            </w:r>
          </w:p>
        </w:tc>
      </w:tr>
      <w:tr>
        <w:trPr>
          <w:trHeight w:val="240" w:hRule="atLeast"/>
          <w:cantSplit w:val="true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23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Задача 2: </w:t>
            </w:r>
            <w:r>
              <w:rPr>
                <w:sz w:val="20"/>
              </w:rPr>
              <w:t>создание условий для совершенствования системы патриотического воспитания и допризывной подготовки молодёжи, направленной на духовно-нравственное воспитание молодёжи</w:t>
            </w:r>
          </w:p>
        </w:tc>
        <w:tc>
          <w:tcPr>
            <w:tcW w:w="3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Показатель результата 4: </w:t>
            </w:r>
            <w:r>
              <w:rPr>
                <w:sz w:val="20"/>
              </w:rPr>
              <w:t>число мероприятий духовно-нравственной направленности для молодых граждан Лахденпохского муниципального района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Кол-во 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375" w:leader="none"/>
                <w:tab w:val="center" w:pos="446" w:leader="none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7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133%</w:t>
            </w:r>
          </w:p>
        </w:tc>
      </w:tr>
      <w:tr>
        <w:trPr>
          <w:trHeight w:val="240" w:hRule="atLeast"/>
          <w:cantSplit w:val="true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23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Показатель результата 5:  </w:t>
            </w:r>
            <w:r>
              <w:rPr>
                <w:sz w:val="20"/>
              </w:rPr>
              <w:t>доля молодых граждан, вовлеченных в  мероприятия  по  патриотическому  воспитанию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Процент 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7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16,2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120%</w:t>
            </w:r>
          </w:p>
        </w:tc>
      </w:tr>
      <w:tr>
        <w:trPr>
          <w:trHeight w:val="240" w:hRule="atLeast"/>
          <w:cantSplit w:val="true"/>
        </w:trPr>
        <w:tc>
          <w:tcPr>
            <w:tcW w:w="1799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Подпрограмма 3 «Содействие занятости несовершеннолетних граждан»</w:t>
            </w:r>
          </w:p>
        </w:tc>
      </w:tr>
      <w:tr>
        <w:trPr>
          <w:trHeight w:val="240" w:hRule="atLeast"/>
          <w:cantSplit w:val="true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423" w:leader="none"/>
              </w:tabs>
              <w:suppressAutoHyphens w:val="true"/>
              <w:jc w:val="both"/>
              <w:rPr/>
            </w:pPr>
            <w:r>
              <w:rPr>
                <w:b/>
                <w:sz w:val="20"/>
              </w:rPr>
              <w:t xml:space="preserve">Цель: </w:t>
            </w:r>
            <w:r>
              <w:rPr>
                <w:sz w:val="20"/>
              </w:rPr>
              <w:t>развитие потенциала и интеграция молодёжи в социально-экономическую жизнь района</w:t>
            </w:r>
          </w:p>
        </w:tc>
        <w:tc>
          <w:tcPr>
            <w:tcW w:w="3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Целевой индикатор: </w:t>
            </w:r>
            <w:r>
              <w:rPr>
                <w:sz w:val="20"/>
              </w:rPr>
              <w:t>рост  количества временно трудоустроенных несовершеннолетних к показателю количества временно трудоустроенных несовершеннолетних 2016 года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7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111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147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147%</w:t>
            </w:r>
          </w:p>
        </w:tc>
      </w:tr>
      <w:tr>
        <w:trPr>
          <w:trHeight w:val="1750" w:hRule="atLeast"/>
          <w:cantSplit w:val="true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Задача 1: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организация профессиональной ориентации несовершеннолетних граждан </w:t>
            </w:r>
          </w:p>
        </w:tc>
        <w:tc>
          <w:tcPr>
            <w:tcW w:w="3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Показатель результата 2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Доля несовершеннолетних граждан, получивших  консультационные услуги по вопросам трудоустройства и профориентации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7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200%</w:t>
            </w:r>
          </w:p>
        </w:tc>
      </w:tr>
      <w:tr>
        <w:trPr>
          <w:trHeight w:val="1750" w:hRule="atLeast"/>
          <w:cantSplit w:val="true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Задача 2: </w:t>
            </w:r>
            <w:r>
              <w:rPr>
                <w:sz w:val="20"/>
              </w:rPr>
              <w:t>организация временной занятости и трудоустройства несовершеннолетних граждан в возрасте от 14 до 18 лет.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3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Показатель результата 1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Количество временно трудоустроенных  несовершеннолетних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Человек (не менее)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78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147%</w:t>
            </w:r>
          </w:p>
        </w:tc>
      </w:tr>
    </w:tbl>
    <w:p>
      <w:pPr>
        <w:pStyle w:val="Normal"/>
        <w:spacing w:lineRule="auto" w:line="276"/>
        <w:rPr>
          <w:rFonts w:ascii="Calibri" w:hAnsi="Calibri" w:eastAsia="Calibri" w:cs="Calibri"/>
          <w:sz w:val="20"/>
        </w:rPr>
      </w:pPr>
      <w:r>
        <w:rPr>
          <w:rFonts w:eastAsia="Calibri" w:cs="Calibri" w:ascii="Calibri" w:hAnsi="Calibri"/>
          <w:sz w:val="20"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  <w:t>Таблица 2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 xml:space="preserve">Информация об основных мероприятиях, подпрограммах муниципальной программы </w:t>
      </w:r>
    </w:p>
    <w:p>
      <w:pPr>
        <w:pStyle w:val="Normal"/>
        <w:jc w:val="center"/>
        <w:rPr/>
      </w:pPr>
      <w:r>
        <w:rPr>
          <w:b/>
        </w:rPr>
        <w:t>«Развитие сферы культуры и организация работы с молодёжью в Лахденпохском муниципальном районе»</w:t>
      </w:r>
      <w:r>
        <w:rPr>
          <w:rFonts w:eastAsia="Calibri" w:cs="Calibri" w:ascii="Calibri" w:hAnsi="Calibri"/>
          <w:sz w:val="28"/>
        </w:rPr>
        <w:t xml:space="preserve"> </w:t>
      </w:r>
      <w:r>
        <w:rPr>
          <w:b/>
        </w:rPr>
        <w:t xml:space="preserve"> на 2017-2021 годы.</w:t>
      </w:r>
    </w:p>
    <w:p>
      <w:pPr>
        <w:pStyle w:val="Normal"/>
        <w:spacing w:lineRule="auto" w:line="276"/>
        <w:rPr>
          <w:rFonts w:ascii="Calibri" w:hAnsi="Calibri" w:eastAsia="Calibri" w:cs="Calibri"/>
        </w:rPr>
      </w:pPr>
      <w:r>
        <w:rPr>
          <w:rFonts w:eastAsia="Calibri" w:cs="Calibri" w:ascii="Calibri" w:hAnsi="Calibri"/>
        </w:rPr>
      </w:r>
    </w:p>
    <w:tbl>
      <w:tblPr>
        <w:tblW w:w="15240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640"/>
        <w:gridCol w:w="3259"/>
        <w:gridCol w:w="1701"/>
        <w:gridCol w:w="1134"/>
        <w:gridCol w:w="1134"/>
        <w:gridCol w:w="2409"/>
        <w:gridCol w:w="3260"/>
        <w:gridCol w:w="1701"/>
      </w:tblGrid>
      <w:tr>
        <w:trPr>
          <w:trHeight w:val="482" w:hRule="atLeast"/>
          <w:cantSplit w:val="true"/>
        </w:trPr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r>
              <w:rPr>
                <w:sz w:val="20"/>
              </w:rPr>
              <w:t>п/п</w:t>
            </w: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Номер и наименование основного мероприятия и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Ответственный исполнитель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(участники)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Срок 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Ожидаемый непосредственный результат (краткое описание и его значение)</w:t>
              <w:br/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Последствия не реализации  муниципальной целевой программы, основного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Связь с показателями результатов муниципальной программы (подпрограммы) - № показателя </w:t>
            </w:r>
          </w:p>
        </w:tc>
      </w:tr>
      <w:tr>
        <w:trPr>
          <w:trHeight w:val="483" w:hRule="atLeast"/>
          <w:cantSplit w:val="true"/>
        </w:trPr>
        <w:tc>
          <w:tcPr>
            <w:tcW w:w="6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2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начала реализации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окончания реализации</w:t>
            </w:r>
          </w:p>
        </w:tc>
        <w:tc>
          <w:tcPr>
            <w:tcW w:w="24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2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5" w:hRule="atLeast"/>
          <w:cantSplit w:val="true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>
        <w:trPr>
          <w:trHeight w:val="144" w:hRule="atLeast"/>
          <w:cantSplit w:val="true"/>
        </w:trPr>
        <w:tc>
          <w:tcPr>
            <w:tcW w:w="152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Подпрограмма 1 «Развитие муниципальных учреждений в сфере культуры»</w:t>
            </w:r>
          </w:p>
        </w:tc>
      </w:tr>
      <w:tr>
        <w:trPr>
          <w:trHeight w:val="144" w:hRule="atLeast"/>
          <w:cantSplit w:val="true"/>
        </w:trPr>
        <w:tc>
          <w:tcPr>
            <w:tcW w:w="152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 xml:space="preserve">Цель: </w:t>
            </w:r>
            <w:r>
              <w:rPr>
                <w:sz w:val="20"/>
              </w:rPr>
              <w:t>Повышение эффективности деятельности муниципальных учреждений культуры и сохранение культурного и исторического наследия.</w:t>
            </w:r>
          </w:p>
        </w:tc>
      </w:tr>
      <w:tr>
        <w:trPr>
          <w:trHeight w:val="144" w:hRule="atLeast"/>
          <w:cantSplit w:val="true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5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 xml:space="preserve">Задача 1:  </w:t>
            </w:r>
            <w:r>
              <w:rPr>
                <w:sz w:val="20"/>
              </w:rPr>
              <w:t>Сохранение культурного и исторического наследия и расширения доступа граждан к культурным ценностям и информации</w:t>
            </w:r>
          </w:p>
        </w:tc>
      </w:tr>
      <w:tr>
        <w:trPr>
          <w:trHeight w:val="144" w:hRule="atLeast"/>
          <w:cantSplit w:val="true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1: </w:t>
            </w:r>
            <w:r>
              <w:rPr>
                <w:sz w:val="20"/>
              </w:rPr>
              <w:t>ремонт объектов воинских захоронений, расположенных на территории сельских поселений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Исполнитель: АЛМР (ОСР)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рост доли объектов, состояние которых является удовлетворительным не менее 50%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ухудшение состояния объектов культурного наследия, угроза утраты объектов культурного наследия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lineRule="auto" w:line="276" w:before="0" w:after="200"/>
              <w:rPr>
                <w:sz w:val="20"/>
              </w:rPr>
            </w:pPr>
            <w:r>
              <w:rPr>
                <w:sz w:val="20"/>
              </w:rPr>
              <w:t>Показатель результата 1</w:t>
            </w:r>
          </w:p>
        </w:tc>
      </w:tr>
      <w:tr>
        <w:trPr>
          <w:trHeight w:val="1903" w:hRule="atLeast"/>
          <w:cantSplit w:val="true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2: </w:t>
            </w:r>
            <w:r>
              <w:rPr>
                <w:sz w:val="20"/>
              </w:rPr>
              <w:t>Развитие музейного дела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Участники: МБУК «ККЦ»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 к 2021 г.  до 136%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увеличение количества посетителей краеведческого центра к 2021 г. на 110%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both"/>
              <w:rPr>
                <w:sz w:val="20"/>
              </w:rPr>
            </w:pPr>
            <w:r>
              <w:rPr>
                <w:sz w:val="20"/>
              </w:rPr>
              <w:t>Снижение интереса населения к посещению центра, снижение доступности фондов краеведческого центра, понижение качества музейно-образовательных и просветительских программ.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lineRule="auto" w:line="276" w:before="0" w:after="200"/>
              <w:rPr>
                <w:sz w:val="20"/>
              </w:rPr>
            </w:pPr>
            <w:r>
              <w:rPr>
                <w:sz w:val="20"/>
              </w:rPr>
              <w:t>Показатель результата 2</w:t>
            </w:r>
          </w:p>
          <w:p>
            <w:pPr>
              <w:pStyle w:val="Normal"/>
              <w:spacing w:lineRule="auto" w:line="276" w:before="0" w:after="20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lineRule="auto" w:line="276" w:before="0" w:after="20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lineRule="auto" w:line="276" w:before="0" w:after="20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lineRule="auto" w:line="276" w:before="0" w:after="200"/>
              <w:rPr>
                <w:sz w:val="20"/>
              </w:rPr>
            </w:pPr>
            <w:r>
              <w:rPr>
                <w:sz w:val="20"/>
              </w:rPr>
              <w:t>Показатель результата 3</w:t>
            </w:r>
          </w:p>
        </w:tc>
      </w:tr>
      <w:tr>
        <w:trPr>
          <w:trHeight w:val="144" w:hRule="atLeast"/>
          <w:cantSplit w:val="true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3: </w:t>
            </w:r>
            <w:r>
              <w:rPr>
                <w:sz w:val="20"/>
              </w:rPr>
              <w:t xml:space="preserve">комплектование библиотечных фондов муниципальной библиотеки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Соисполнители: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МКУК «МБ ЛМР»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увеличение количества обновленных экземпляров библиотечного фонда к 2021 г. до 200%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снижение интереса населения к посещению библиотеки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Показатель результата 4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</w:tr>
      <w:tr>
        <w:trPr>
          <w:trHeight w:val="144" w:hRule="atLeast"/>
          <w:cantSplit w:val="true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4: </w:t>
            </w:r>
            <w:r>
              <w:rPr>
                <w:sz w:val="20"/>
              </w:rPr>
              <w:t>подключение муниципальных учреждений культуры к сети Интернет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Соисполнители: МКУК «МБ ЛМР»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Участники: МБУК «ККЦ»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не менее одного муниципального учреждения культуры каждый год с доступом к сети Интернет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Снижение уровня доступности для широкого круга граждан, проживающих на территории поселений, правовой и иной социальнозначимой информации, государственных (муниципальных) услуг, предоставляемых в электронном виде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Показатель результата 6</w:t>
            </w:r>
          </w:p>
        </w:tc>
      </w:tr>
      <w:tr>
        <w:trPr>
          <w:trHeight w:val="144" w:hRule="atLeast"/>
          <w:cantSplit w:val="true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5: </w:t>
            </w:r>
            <w:r>
              <w:rPr>
                <w:sz w:val="20"/>
              </w:rPr>
              <w:t>организация библиотечного обслуживания населения ЛМР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Соисполнители: МКУК «МБ ЛМР»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увеличение количества посещений библиотеки к 2021 г. до 104%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Снижение интереса населения к посещению библиотеки, снижение уровня качества услуг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Показатель результата 5</w:t>
            </w:r>
          </w:p>
        </w:tc>
      </w:tr>
      <w:tr>
        <w:trPr>
          <w:trHeight w:val="144" w:hRule="atLeast"/>
          <w:cantSplit w:val="true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45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 xml:space="preserve">Задача 2: </w:t>
            </w:r>
            <w:r>
              <w:rPr>
                <w:sz w:val="20"/>
              </w:rPr>
              <w:t>Поддержка и развитие художественно-творческой деятельности и реализация творческого потенциала жителей района</w:t>
            </w:r>
          </w:p>
        </w:tc>
      </w:tr>
      <w:tr>
        <w:trPr>
          <w:trHeight w:val="144" w:hRule="atLeast"/>
          <w:cantSplit w:val="true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1: </w:t>
            </w:r>
            <w:r>
              <w:rPr>
                <w:sz w:val="20"/>
              </w:rPr>
              <w:t>привлечение детей для участия в творческих мероприятиях Лахденпохского муниципального района.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Соисполнитель: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МУ «РУО и ДМ»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участники: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МБО ДО «ДШИ»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увеличение количества детей, привлекаемых к участию в творческих мероприятиях, в общем количестве детей к 2021 г. до 200%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Снижение уровня участия детей в творческих мероприятиях, 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снижение уровня востребованности услуг учреждений культуры и образовательных услуг в сфере культуры среди населения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Показатель результата 7</w:t>
            </w:r>
          </w:p>
        </w:tc>
      </w:tr>
      <w:tr>
        <w:trPr>
          <w:trHeight w:val="144" w:hRule="atLeast"/>
          <w:cantSplit w:val="true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2: </w:t>
            </w:r>
            <w:r>
              <w:rPr>
                <w:sz w:val="20"/>
              </w:rPr>
              <w:t>участие обучающихся детских школ искусств района в конкурсах, фестивалях, выставках различного уровня.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Соисполнитель: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МУ «РУО и ДМ»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участники: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МБО ДО «ДШИ»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увеличение количества победителей и призёров конкурсов, фестивалей, выставок различного статуса к 2021 г. до 178%.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Снижение уровня качества предоставления образовательных услуг в сфере культуры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Показатель результата 8</w:t>
            </w:r>
          </w:p>
        </w:tc>
      </w:tr>
      <w:tr>
        <w:trPr>
          <w:trHeight w:val="144" w:hRule="atLeast"/>
          <w:cantSplit w:val="true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3: </w:t>
            </w:r>
            <w:r>
              <w:rPr>
                <w:sz w:val="20"/>
              </w:rPr>
              <w:t>поддержка мероприятий, направленных на развитие культуры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Соисполнители: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МУ «РУО и ДМ», 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МКУК «МБ ЛМР»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Участники: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МБО ДО «ДШИ»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организация и проведение не менее 15 мероприятий за весь период действия программы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Снижение уровня участия жителей района в творческих мероприятиях, 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снижение уровня востребованности образовательных услуг в сфере культуры среди населения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Показатель результата 9</w:t>
            </w:r>
          </w:p>
        </w:tc>
      </w:tr>
      <w:tr>
        <w:trPr>
          <w:trHeight w:val="144" w:hRule="atLeast"/>
          <w:cantSplit w:val="true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2.4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4: </w:t>
            </w:r>
            <w:r>
              <w:rPr>
                <w:sz w:val="20"/>
              </w:rPr>
              <w:t>участие населения района в культурно-досуговых мероприятиях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Соисполнители: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МУ «РУО и ДМ», 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МКУК «МБ ЛМР»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Участники: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МБО ДО «ДШИ»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увеличение роста охвата населения, участвующих в культурно-досуговых,  мероприятиях, в общем количестве к 2021 г. до 171%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снижение качества оказываемых услуг населению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Показатель результата 10</w:t>
            </w:r>
          </w:p>
        </w:tc>
      </w:tr>
      <w:tr>
        <w:trPr>
          <w:trHeight w:val="144" w:hRule="atLeast"/>
          <w:cantSplit w:val="true"/>
        </w:trPr>
        <w:tc>
          <w:tcPr>
            <w:tcW w:w="152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 xml:space="preserve">Задача 3: </w:t>
            </w:r>
            <w:r>
              <w:rPr>
                <w:sz w:val="20"/>
              </w:rPr>
              <w:t>укрепление материально-технической базы муниципальных учреждений культуры</w:t>
            </w:r>
          </w:p>
        </w:tc>
      </w:tr>
      <w:tr>
        <w:trPr>
          <w:trHeight w:val="144" w:hRule="atLeast"/>
          <w:cantSplit w:val="true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1: </w:t>
            </w:r>
            <w:r>
              <w:rPr>
                <w:sz w:val="20"/>
              </w:rPr>
              <w:t xml:space="preserve">оснащение материально-технической базы (программное обеспечение, компьютеры, </w:t>
            </w:r>
            <w:r>
              <w:rPr>
                <w:sz w:val="20"/>
                <w:highlight w:val="white"/>
              </w:rPr>
              <w:t>экспозиционно-выставочное оборудование, текущий ремонт</w:t>
            </w:r>
            <w:r>
              <w:rPr>
                <w:sz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Соисполнители: 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МКУК «МБ ЛМР»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Участники: МБУК «ККЦ»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улучшение материально-технической базы не менее двух  учреждений культуры в год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значительное снижение уровня услуг, оказываемых населению учреждениями культуры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Показатель результата 11</w:t>
            </w:r>
          </w:p>
        </w:tc>
      </w:tr>
      <w:tr>
        <w:trPr>
          <w:trHeight w:val="144" w:hRule="atLeast"/>
          <w:cantSplit w:val="true"/>
        </w:trPr>
        <w:tc>
          <w:tcPr>
            <w:tcW w:w="152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Подпрограмма 2: «Комплексные мероприятия в области работы с молодёжью»</w:t>
            </w:r>
          </w:p>
        </w:tc>
      </w:tr>
      <w:tr>
        <w:trPr>
          <w:trHeight w:val="144" w:hRule="atLeast"/>
          <w:cantSplit w:val="true"/>
        </w:trPr>
        <w:tc>
          <w:tcPr>
            <w:tcW w:w="152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 xml:space="preserve">Цель: </w:t>
            </w:r>
            <w:r>
              <w:rPr>
                <w:sz w:val="20"/>
              </w:rPr>
              <w:t xml:space="preserve"> развитие активности молодежи в общественной жизни Лахденпохского муниципального района</w:t>
            </w:r>
          </w:p>
        </w:tc>
      </w:tr>
      <w:tr>
        <w:trPr>
          <w:trHeight w:val="144" w:hRule="atLeast"/>
          <w:cantSplit w:val="true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45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 xml:space="preserve">Задача 1: </w:t>
            </w:r>
            <w:r>
              <w:rPr>
                <w:sz w:val="20"/>
              </w:rPr>
              <w:t>создание условий для успешной социализации и эффективной самореализации молодёжи Лахденпохского муниципального района, развитие потенциала молодёжи в интересах социально-экономического развития района</w:t>
            </w:r>
          </w:p>
        </w:tc>
      </w:tr>
      <w:tr>
        <w:trPr>
          <w:trHeight w:val="144" w:hRule="atLeast"/>
          <w:cantSplit w:val="true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1: </w:t>
            </w:r>
            <w:r>
              <w:rPr>
                <w:sz w:val="20"/>
              </w:rPr>
              <w:t xml:space="preserve">организация и проведение </w:t>
            </w:r>
            <w:r>
              <w:rPr>
                <w:sz w:val="20"/>
                <w:highlight w:val="white"/>
              </w:rPr>
              <w:t>мероприятий, направленных на укрепление социального статуса семьи, семейных ценностей и традиций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Исполнитель: АЛМР (ОСР)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Проведение 10 мероприятий за весь период действия программы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Снижение доли молодежи Лахденпохского муниципального района в возрасте от 14 до 30 лет, участвующей в мероприятиях программы, посвященных укреплению института семьи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Показатель результата 1</w:t>
            </w:r>
          </w:p>
        </w:tc>
      </w:tr>
      <w:tr>
        <w:trPr>
          <w:trHeight w:val="144" w:hRule="atLeast"/>
          <w:cantSplit w:val="true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2: </w:t>
            </w:r>
            <w:r>
              <w:rPr>
                <w:sz w:val="20"/>
              </w:rPr>
              <w:t>развитие молодёжного консультативно-совещательного органа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Исполнитель: АЛМР (ОСР)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Проведение 20 заседаний,  организация 10 выездов членов Совета молодёжи Лахденпохского района для участия в работе республиканского молодёжного Парламента за весь период действия программы.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Снижение доли молодежи Лахденпохского муниципального района в возрасте от 14 до 30 лет, участвующей в мероприятиях программы, направленных на социальную активность и самостоятельность молодёжи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Показатель результата 2</w:t>
            </w:r>
          </w:p>
        </w:tc>
      </w:tr>
      <w:tr>
        <w:trPr>
          <w:trHeight w:val="144" w:hRule="atLeast"/>
          <w:cantSplit w:val="true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3: </w:t>
            </w:r>
            <w:r>
              <w:rPr>
                <w:sz w:val="20"/>
              </w:rPr>
              <w:t>мероприятия, направленные на формирование трудовых навыков, поддержку молодых специалистов и молодых граждан, достигших особых успехов в трудовой, творческой, социальной деятельности</w:t>
            </w:r>
          </w:p>
        </w:tc>
        <w:tc>
          <w:tcPr>
            <w:tcW w:w="17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Проведение 15 мероприятий за весь период действия программы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Снижение доли молодежи Лахденпохского муниципального района в возрасте от 14 до 30 лет, участвующей в мероприятиях программы, направленных на социальную активность и самостоятельность молодёжи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Показатель результата 2</w:t>
            </w:r>
          </w:p>
        </w:tc>
      </w:tr>
      <w:tr>
        <w:trPr>
          <w:trHeight w:val="144" w:hRule="atLeast"/>
          <w:cantSplit w:val="true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4: </w:t>
            </w:r>
            <w:r>
              <w:rPr>
                <w:sz w:val="20"/>
              </w:rPr>
              <w:t>организация и проведение мероприятий, направленных на разностороннее развитие молодых людей, физическое развитие, поддержку инициативы и творчества молодёжи, формирование здорового образа жизни, социализацию молодых граждан с ограниченными возможностями здоровья</w:t>
            </w:r>
          </w:p>
        </w:tc>
        <w:tc>
          <w:tcPr>
            <w:tcW w:w="17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Проведение 30 мероприятий, участие молодёжи в 10 региональных (республиканских), всероссийских, международных проектах за весь период действия программы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Снижение доли молодежи Лахденпохского муниципального района в возрасте от 14 до 30 лет, участвующей в мероприятиях программы, направленных на разностороннее развитие молодых людей, их творческих способностей, самореализации личности, формирование здорового образа жизни.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Показатель результата 3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</w:tr>
      <w:tr>
        <w:trPr>
          <w:trHeight w:val="144" w:hRule="atLeast"/>
          <w:cantSplit w:val="true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45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>Задача 2:</w:t>
            </w:r>
            <w:r>
              <w:rPr>
                <w:sz w:val="20"/>
              </w:rPr>
              <w:t xml:space="preserve"> создание условий для совершенствования системы патриотического воспитания и допризывной подготовки молодёжи, направленной на духовно-нравственное воспитание личности</w:t>
            </w:r>
          </w:p>
        </w:tc>
      </w:tr>
      <w:tr>
        <w:trPr>
          <w:trHeight w:val="144" w:hRule="atLeast"/>
          <w:cantSplit w:val="true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1: </w:t>
            </w:r>
            <w:r>
              <w:rPr>
                <w:sz w:val="20"/>
              </w:rPr>
              <w:t>организация и проведение мероприятий патриотической и духовно-нравственной направленности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Исполнитель: АЛМР (ОСР)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Проведение 30 мероприятий за весь период действия программы, ежегодное участие в республиканской военно-спортивной игре «Победа»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Снижение доли молодых граждан, вовлеченных в  мероприятия  по  патриотическому  воспитанию. Уменьшение мероприятий, направленных на духовно-нравственное и патриотическое развитие молодёжи.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Показатель результата 4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Показатель результата 5</w:t>
            </w:r>
          </w:p>
        </w:tc>
      </w:tr>
      <w:tr>
        <w:trPr>
          <w:trHeight w:val="144" w:hRule="atLeast"/>
          <w:cantSplit w:val="true"/>
        </w:trPr>
        <w:tc>
          <w:tcPr>
            <w:tcW w:w="152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Подпрограмма 3: «Содействие занятости несовершеннолетних граждан»</w:t>
            </w:r>
          </w:p>
        </w:tc>
      </w:tr>
      <w:tr>
        <w:trPr>
          <w:trHeight w:val="144" w:hRule="atLeast"/>
          <w:cantSplit w:val="true"/>
        </w:trPr>
        <w:tc>
          <w:tcPr>
            <w:tcW w:w="152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 xml:space="preserve">Цель: </w:t>
            </w:r>
            <w:r>
              <w:rPr>
                <w:sz w:val="20"/>
              </w:rPr>
              <w:t>развитие потенциала и интеграция молодёжи в социально-экономическую жизнь района</w:t>
            </w:r>
          </w:p>
        </w:tc>
      </w:tr>
      <w:tr>
        <w:trPr>
          <w:trHeight w:val="144" w:hRule="atLeast"/>
          <w:cantSplit w:val="true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45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 xml:space="preserve">Задача1: </w:t>
            </w:r>
            <w:r>
              <w:rPr>
                <w:sz w:val="20"/>
              </w:rPr>
              <w:t>организация профессиональной ориентации несовершеннолетних граждан</w:t>
            </w:r>
          </w:p>
        </w:tc>
      </w:tr>
      <w:tr>
        <w:trPr>
          <w:trHeight w:val="144" w:hRule="atLeast"/>
          <w:cantSplit w:val="true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1: </w:t>
            </w:r>
            <w:r>
              <w:rPr>
                <w:sz w:val="20"/>
              </w:rPr>
              <w:t>Информирование несовершеннолетних граждан о реализации Программы через средства массовой информации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Исполнитель: АЛМР (ОСР)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lineRule="auto" w:line="276" w:before="0" w:after="200"/>
              <w:jc w:val="both"/>
              <w:rPr>
                <w:sz w:val="20"/>
              </w:rPr>
            </w:pPr>
            <w:r>
              <w:rPr>
                <w:sz w:val="20"/>
              </w:rPr>
              <w:t>Размещение публикаций в Районной газете «Призыв», на официальном сайте АЛМР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lineRule="auto" w:line="276" w:before="0" w:after="200"/>
              <w:jc w:val="both"/>
              <w:rPr>
                <w:sz w:val="20"/>
              </w:rPr>
            </w:pPr>
            <w:r>
              <w:rPr>
                <w:sz w:val="20"/>
              </w:rPr>
              <w:t>Невыполнение показателей программы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Показатель результата 1</w:t>
            </w:r>
          </w:p>
        </w:tc>
      </w:tr>
      <w:tr>
        <w:trPr>
          <w:trHeight w:val="144" w:hRule="atLeast"/>
          <w:cantSplit w:val="true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2: </w:t>
            </w:r>
            <w:r>
              <w:rPr>
                <w:sz w:val="20"/>
              </w:rPr>
              <w:t>Проведение ярмарок вакансий по организации временного трудоустройства несовершеннолетних граждан в возрасте от 14 до 18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Центр занятости населения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lineRule="auto" w:line="276" w:before="0" w:after="200"/>
              <w:jc w:val="both"/>
              <w:rPr>
                <w:sz w:val="20"/>
              </w:rPr>
            </w:pPr>
            <w:r>
              <w:rPr>
                <w:sz w:val="20"/>
              </w:rPr>
              <w:t>Не менее 2 ярмарок вакансий в год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lineRule="auto" w:line="276" w:before="0" w:after="200"/>
              <w:jc w:val="both"/>
              <w:rPr>
                <w:sz w:val="20"/>
              </w:rPr>
            </w:pPr>
            <w:r>
              <w:rPr>
                <w:sz w:val="20"/>
              </w:rPr>
              <w:t>Снижение доли молодежи Лахденпохского муниципального района в возрасте от 14 до 30 лет, участвующей в мероприятиях, профилактической направленности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Показатель результата 1,2</w:t>
            </w:r>
          </w:p>
        </w:tc>
      </w:tr>
      <w:tr>
        <w:trPr>
          <w:trHeight w:val="144" w:hRule="atLeast"/>
          <w:cantSplit w:val="true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3: </w:t>
            </w:r>
            <w:r>
              <w:rPr>
                <w:sz w:val="20"/>
              </w:rPr>
              <w:t>Заключение трехсторонних договоров по организации временного трудоустройства несовершеннолетних граждан с предприятиями, организациями, учреждениями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Исполнитель: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АЛМР (ОСР)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Центр занятости населения 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lineRule="auto" w:line="276" w:before="0" w:after="200"/>
              <w:jc w:val="both"/>
              <w:rPr>
                <w:sz w:val="20"/>
              </w:rPr>
            </w:pPr>
            <w:r>
              <w:rPr>
                <w:sz w:val="20"/>
              </w:rPr>
              <w:t>Не менее 83 договоров за период действия Программы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lineRule="auto" w:line="276" w:before="0" w:after="200"/>
              <w:jc w:val="both"/>
              <w:rPr>
                <w:sz w:val="20"/>
              </w:rPr>
            </w:pPr>
            <w:r>
              <w:rPr>
                <w:sz w:val="20"/>
              </w:rPr>
              <w:t>Снижение доли молодежи Лахденпохского муниципального района в возрасте от 14 до 30 лет, участвующей в мероприятиях программы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Показатель результата 1, 2</w:t>
            </w:r>
          </w:p>
        </w:tc>
      </w:tr>
      <w:tr>
        <w:trPr>
          <w:trHeight w:val="144" w:hRule="atLeast"/>
          <w:cantSplit w:val="true"/>
        </w:trPr>
        <w:tc>
          <w:tcPr>
            <w:tcW w:w="152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>Задача 2</w:t>
            </w:r>
            <w:r>
              <w:rPr>
                <w:sz w:val="20"/>
              </w:rPr>
              <w:t>: организация временной занятости и трудоустройства несовершеннолетних граждан в возрасте от 14 до 18 лет</w:t>
            </w:r>
          </w:p>
        </w:tc>
      </w:tr>
      <w:tr>
        <w:trPr>
          <w:trHeight w:val="144" w:hRule="atLeast"/>
          <w:cantSplit w:val="true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1: </w:t>
            </w:r>
            <w:r>
              <w:rPr>
                <w:sz w:val="20"/>
              </w:rPr>
              <w:t>Формирование реестра предприятий и организаций, предоставляющих рабочие места для временного трудоустройства несовершеннолетних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Исполнитель: АЛМР (ОСР)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Центр занятости населения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lineRule="auto" w:line="276" w:before="0" w:after="200"/>
              <w:jc w:val="both"/>
              <w:rPr>
                <w:sz w:val="20"/>
              </w:rPr>
            </w:pPr>
            <w:r>
              <w:rPr>
                <w:sz w:val="20"/>
              </w:rPr>
              <w:t>Актуализация реестра не менее двух раз в год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lineRule="auto" w:line="276" w:before="0" w:after="200"/>
              <w:jc w:val="both"/>
              <w:rPr>
                <w:sz w:val="20"/>
              </w:rPr>
            </w:pPr>
            <w:r>
              <w:rPr>
                <w:sz w:val="20"/>
              </w:rPr>
              <w:t>Невыполнение показателей программы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Показатель результата 2</w:t>
            </w:r>
          </w:p>
        </w:tc>
      </w:tr>
      <w:tr>
        <w:trPr>
          <w:trHeight w:val="144" w:hRule="atLeast"/>
          <w:cantSplit w:val="true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2: </w:t>
            </w:r>
            <w:r>
              <w:rPr>
                <w:sz w:val="20"/>
              </w:rPr>
              <w:t>Финансирование временного трудоустройства несовершеннолетних  на основании трехстороннего трудового договора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Исполнитель: АЛМР (ОСР)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Соисполнитель: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МУ «РУО и ДМ»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Центр занятости населения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Решение проблемы занятости и трудоустройства в период каникул. Перечисление финансовых средств работодателям.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Невыполнение показателей программы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Показатель результата  2</w:t>
            </w:r>
          </w:p>
        </w:tc>
      </w:tr>
    </w:tbl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  <w:t>Таблица 3</w:t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 xml:space="preserve">Финансовое обеспечение реализации муниципальной программы </w:t>
      </w:r>
    </w:p>
    <w:p>
      <w:pPr>
        <w:pStyle w:val="Normal"/>
        <w:jc w:val="center"/>
        <w:rPr/>
      </w:pPr>
      <w:r>
        <w:rPr>
          <w:b/>
        </w:rPr>
        <w:t>«Развитие сферы культуры и организация работы с молодёжью в Лахденпохском муниципальном районе»</w:t>
      </w:r>
      <w:r>
        <w:rPr>
          <w:rFonts w:eastAsia="Calibri" w:cs="Calibri" w:ascii="Calibri" w:hAnsi="Calibri"/>
          <w:sz w:val="28"/>
        </w:rPr>
        <w:t xml:space="preserve"> </w:t>
      </w:r>
      <w:r>
        <w:rPr>
          <w:b/>
        </w:rPr>
        <w:t xml:space="preserve"> на 2017-2021 годы </w:t>
      </w:r>
    </w:p>
    <w:p>
      <w:pPr>
        <w:pStyle w:val="Normal"/>
        <w:jc w:val="center"/>
        <w:rPr>
          <w:b/>
          <w:b/>
        </w:rPr>
      </w:pPr>
      <w:r>
        <w:rPr>
          <w:b/>
        </w:rPr>
        <w:t>за счет средств бюджета Лахденпохского муниципального района (тыс. руб.)</w:t>
      </w:r>
    </w:p>
    <w:tbl>
      <w:tblPr>
        <w:tblW w:w="14792" w:type="dxa"/>
        <w:jc w:val="left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0" w:type="dxa"/>
          <w:left w:w="61" w:type="dxa"/>
          <w:bottom w:w="0" w:type="dxa"/>
          <w:right w:w="70" w:type="dxa"/>
        </w:tblCellMar>
      </w:tblPr>
      <w:tblGrid>
        <w:gridCol w:w="2195"/>
        <w:gridCol w:w="778"/>
        <w:gridCol w:w="991"/>
        <w:gridCol w:w="2692"/>
        <w:gridCol w:w="708"/>
        <w:gridCol w:w="567"/>
        <w:gridCol w:w="994"/>
        <w:gridCol w:w="336"/>
        <w:gridCol w:w="657"/>
        <w:gridCol w:w="1"/>
        <w:gridCol w:w="991"/>
        <w:gridCol w:w="2"/>
        <w:gridCol w:w="1"/>
        <w:gridCol w:w="988"/>
        <w:gridCol w:w="2"/>
        <w:gridCol w:w="992"/>
        <w:gridCol w:w="2"/>
        <w:gridCol w:w="992"/>
        <w:gridCol w:w="2"/>
        <w:gridCol w:w="900"/>
      </w:tblGrid>
      <w:tr>
        <w:trPr>
          <w:trHeight w:val="480" w:hRule="atLeast"/>
          <w:cantSplit w:val="true"/>
        </w:trPr>
        <w:tc>
          <w:tcPr>
            <w:tcW w:w="21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Статус</w:t>
            </w:r>
          </w:p>
        </w:tc>
        <w:tc>
          <w:tcPr>
            <w:tcW w:w="176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муниципальной программы, подпрограммы ведомственной целевой программы,  основных мероприятий и мероприятий</w:t>
            </w:r>
          </w:p>
        </w:tc>
        <w:tc>
          <w:tcPr>
            <w:tcW w:w="26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Ответственный  </w:t>
              <w:br/>
              <w:t xml:space="preserve">исполнитель,  </w:t>
              <w:br/>
              <w:t xml:space="preserve">соисполнители  </w:t>
              <w:br/>
            </w:r>
          </w:p>
        </w:tc>
        <w:tc>
          <w:tcPr>
            <w:tcW w:w="32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Код бюджетной </w:t>
              <w:br/>
              <w:t xml:space="preserve">классификации </w:t>
            </w: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38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Расходы   </w:t>
              <w:br/>
              <w:t>(тыс. руб.), годы</w:t>
            </w:r>
          </w:p>
        </w:tc>
      </w:tr>
      <w:tr>
        <w:trPr>
          <w:trHeight w:val="840" w:hRule="atLeast"/>
          <w:cantSplit w:val="true"/>
        </w:trPr>
        <w:tc>
          <w:tcPr>
            <w:tcW w:w="219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69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92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ГРБС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Рз</w:t>
              <w:br/>
              <w:t>Пр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ЦСР</w:t>
            </w: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ВР</w:t>
            </w: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2018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2019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2020</w:t>
            </w:r>
          </w:p>
        </w:tc>
        <w:tc>
          <w:tcPr>
            <w:tcW w:w="9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</w:tr>
      <w:tr>
        <w:trPr>
          <w:trHeight w:val="240" w:hRule="atLeast"/>
          <w:cantSplit w:val="true"/>
        </w:trPr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9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>
        <w:trPr>
          <w:trHeight w:val="307" w:hRule="atLeast"/>
          <w:cantSplit w:val="true"/>
        </w:trPr>
        <w:tc>
          <w:tcPr>
            <w:tcW w:w="14791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>МП «Развитие сферы культуры и организация работы с молодёжью в Лахденпохском муниципальном районе»</w:t>
            </w:r>
            <w:r>
              <w:rPr>
                <w:rFonts w:eastAsia="Calibri" w:cs="Calibri" w:ascii="Calibri" w:hAnsi="Calibri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 на 2017-2021 годы.</w:t>
            </w:r>
          </w:p>
        </w:tc>
      </w:tr>
      <w:tr>
        <w:trPr>
          <w:trHeight w:val="225" w:hRule="atLeast"/>
          <w:cantSplit w:val="true"/>
        </w:trPr>
        <w:tc>
          <w:tcPr>
            <w:tcW w:w="21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7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6945" w:type="dxa"/>
            <w:gridSpan w:val="7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                                                                                      </w:t>
            </w:r>
            <w:r>
              <w:rPr>
                <w:b/>
                <w:sz w:val="20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5504,788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5491,283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5610,526</w:t>
            </w:r>
          </w:p>
        </w:tc>
        <w:tc>
          <w:tcPr>
            <w:tcW w:w="90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5688,485</w:t>
            </w:r>
          </w:p>
        </w:tc>
      </w:tr>
      <w:tr>
        <w:trPr>
          <w:trHeight w:val="225" w:hRule="atLeast"/>
          <w:cantSplit w:val="true"/>
        </w:trPr>
        <w:tc>
          <w:tcPr>
            <w:tcW w:w="219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8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Ответственный    </w:t>
              <w:br/>
              <w:t>исполнитель: АЛМР (ОСР)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0707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160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169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181</w:t>
            </w:r>
          </w:p>
        </w:tc>
        <w:tc>
          <w:tcPr>
            <w:tcW w:w="90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190</w:t>
            </w:r>
          </w:p>
        </w:tc>
      </w:tr>
      <w:tr>
        <w:trPr>
          <w:trHeight w:val="220" w:hRule="atLeast"/>
          <w:cantSplit w:val="true"/>
        </w:trPr>
        <w:tc>
          <w:tcPr>
            <w:tcW w:w="219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83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0503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2,788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1,483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1,326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1,485</w:t>
            </w:r>
          </w:p>
        </w:tc>
      </w:tr>
      <w:tr>
        <w:trPr>
          <w:trHeight w:val="267" w:hRule="atLeast"/>
          <w:cantSplit w:val="true"/>
        </w:trPr>
        <w:tc>
          <w:tcPr>
            <w:tcW w:w="219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83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Соисполнитель: МКУК «МБ ЛМР»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127,38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116,18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170,4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153,4</w:t>
            </w:r>
          </w:p>
        </w:tc>
      </w:tr>
      <w:tr>
        <w:trPr>
          <w:trHeight w:val="267" w:hRule="atLeast"/>
          <w:cantSplit w:val="true"/>
        </w:trPr>
        <w:tc>
          <w:tcPr>
            <w:tcW w:w="219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83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2230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2170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2230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2230</w:t>
            </w:r>
          </w:p>
        </w:tc>
      </w:tr>
      <w:tr>
        <w:trPr>
          <w:trHeight w:val="267" w:hRule="atLeast"/>
          <w:cantSplit w:val="true"/>
        </w:trPr>
        <w:tc>
          <w:tcPr>
            <w:tcW w:w="219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83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242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186,2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186,2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186,2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186,2</w:t>
            </w:r>
          </w:p>
        </w:tc>
      </w:tr>
      <w:tr>
        <w:trPr>
          <w:trHeight w:val="267" w:hRule="atLeast"/>
          <w:cantSplit w:val="true"/>
        </w:trPr>
        <w:tc>
          <w:tcPr>
            <w:tcW w:w="219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83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506,6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481,6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481,6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481,6</w:t>
            </w:r>
          </w:p>
        </w:tc>
      </w:tr>
      <w:tr>
        <w:trPr>
          <w:trHeight w:val="267" w:hRule="atLeast"/>
          <w:cantSplit w:val="true"/>
        </w:trPr>
        <w:tc>
          <w:tcPr>
            <w:tcW w:w="219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83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851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>
        <w:trPr>
          <w:trHeight w:val="267" w:hRule="atLeast"/>
          <w:cantSplit w:val="true"/>
        </w:trPr>
        <w:tc>
          <w:tcPr>
            <w:tcW w:w="219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83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853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>
        <w:trPr>
          <w:trHeight w:val="130" w:hRule="atLeast"/>
          <w:cantSplit w:val="true"/>
        </w:trPr>
        <w:tc>
          <w:tcPr>
            <w:tcW w:w="219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83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Соисполнитель: МБУК «ККЦ»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610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1986,2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2037,0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2004,8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2035,4</w:t>
            </w:r>
          </w:p>
        </w:tc>
      </w:tr>
      <w:tr>
        <w:trPr>
          <w:trHeight w:val="175" w:hRule="atLeast"/>
          <w:cantSplit w:val="true"/>
        </w:trPr>
        <w:tc>
          <w:tcPr>
            <w:tcW w:w="219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83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Соисполнитель: МУ «РУО и ДМ»</w:t>
            </w:r>
          </w:p>
          <w:p>
            <w:pPr>
              <w:pStyle w:val="Normal"/>
              <w:spacing w:lineRule="auto" w:line="360"/>
              <w:ind w:left="0" w:right="0" w:firstLine="708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Участник:  МБО ДО «ДШИ»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Участник:  МБО ДО «ЛЦДТ»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0401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110, 610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210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230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</w:tr>
      <w:tr>
        <w:trPr>
          <w:trHeight w:val="231" w:hRule="atLeast"/>
          <w:cantSplit w:val="true"/>
        </w:trPr>
        <w:tc>
          <w:tcPr>
            <w:tcW w:w="219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83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0707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56,8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66,2</w:t>
            </w:r>
          </w:p>
        </w:tc>
      </w:tr>
      <w:tr>
        <w:trPr>
          <w:trHeight w:val="222" w:hRule="atLeast"/>
          <w:cantSplit w:val="true"/>
        </w:trPr>
        <w:tc>
          <w:tcPr>
            <w:tcW w:w="219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83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610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18,82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18,82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22,2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22,2</w:t>
            </w:r>
          </w:p>
        </w:tc>
      </w:tr>
      <w:tr>
        <w:trPr>
          <w:trHeight w:val="171" w:hRule="atLeast"/>
          <w:cantSplit w:val="true"/>
        </w:trPr>
        <w:tc>
          <w:tcPr>
            <w:tcW w:w="219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83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0707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610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>
        <w:trPr>
          <w:trHeight w:val="180" w:hRule="atLeast"/>
          <w:cantSplit w:val="true"/>
        </w:trPr>
        <w:tc>
          <w:tcPr>
            <w:tcW w:w="14791" w:type="dxa"/>
            <w:gridSpan w:val="20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8085" w:leader="none"/>
              </w:tabs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Подпрограмма 1 «Развитие муниципальных учреждений в сфере культуры»</w:t>
            </w:r>
          </w:p>
        </w:tc>
      </w:tr>
      <w:tr>
        <w:trPr>
          <w:trHeight w:val="1401" w:hRule="atLeast"/>
          <w:cantSplit w:val="true"/>
        </w:trPr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3683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Отв. исп.:  АЛМР (ОСР)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соисполнители: 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МКУК «МБ ЛМР», МУ «РУО и ДМ», Участники: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МБО ДО «ДШИ», МБУК «ККЦ»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9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5065,988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5019,283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5104,526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5118,285</w:t>
            </w:r>
          </w:p>
        </w:tc>
      </w:tr>
      <w:tr>
        <w:trPr>
          <w:trHeight w:val="227" w:hRule="atLeast"/>
          <w:cantSplit w:val="true"/>
        </w:trPr>
        <w:tc>
          <w:tcPr>
            <w:tcW w:w="14791" w:type="dxa"/>
            <w:gridSpan w:val="20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 xml:space="preserve">Задача 1: </w:t>
            </w:r>
            <w:r>
              <w:rPr>
                <w:sz w:val="20"/>
              </w:rPr>
              <w:t>сохранение культурного и исторического наследия и расширение доступа граждан к культурным ценностям и информации</w:t>
            </w:r>
          </w:p>
        </w:tc>
      </w:tr>
      <w:tr>
        <w:trPr>
          <w:trHeight w:val="435" w:hRule="atLeast"/>
          <w:cantSplit w:val="true"/>
        </w:trPr>
        <w:tc>
          <w:tcPr>
            <w:tcW w:w="396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1: </w:t>
            </w:r>
            <w:r>
              <w:rPr>
                <w:sz w:val="20"/>
              </w:rPr>
              <w:t>выполнение работ по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ремонту воинских захоронений, расположенных на территории сельских поселений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Ответственный исполнитель: АЛМР (ОСР)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0503</w:t>
            </w:r>
          </w:p>
        </w:tc>
        <w:tc>
          <w:tcPr>
            <w:tcW w:w="1330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5210000000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2,788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1,483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1,326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1,485</w:t>
            </w:r>
          </w:p>
        </w:tc>
      </w:tr>
      <w:tr>
        <w:trPr>
          <w:trHeight w:val="238" w:hRule="atLeast"/>
          <w:cantSplit w:val="true"/>
        </w:trPr>
        <w:tc>
          <w:tcPr>
            <w:tcW w:w="396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2: </w:t>
            </w:r>
            <w:r>
              <w:rPr>
                <w:sz w:val="20"/>
              </w:rPr>
              <w:t>развитие музейного дела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Участники: МБУК «ККЦ»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1330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1948,0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1948,0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1948,0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1948,0</w:t>
            </w:r>
          </w:p>
        </w:tc>
      </w:tr>
      <w:tr>
        <w:trPr>
          <w:trHeight w:val="435" w:hRule="atLeast"/>
          <w:cantSplit w:val="true"/>
        </w:trPr>
        <w:tc>
          <w:tcPr>
            <w:tcW w:w="396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3: </w:t>
            </w:r>
            <w:r>
              <w:rPr>
                <w:sz w:val="20"/>
              </w:rPr>
              <w:t xml:space="preserve">комплектование обновленных библиотечных фондов муниципальной библиотеки </w:t>
            </w:r>
          </w:p>
        </w:tc>
        <w:tc>
          <w:tcPr>
            <w:tcW w:w="2692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Соисполнитель: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МКУК «МБ ЛМР»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1330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31,4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52,4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</w:tr>
      <w:tr>
        <w:trPr>
          <w:trHeight w:val="226" w:hRule="atLeast"/>
          <w:cantSplit w:val="true"/>
        </w:trPr>
        <w:tc>
          <w:tcPr>
            <w:tcW w:w="3964" w:type="dxa"/>
            <w:gridSpan w:val="3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4: </w:t>
            </w:r>
            <w:r>
              <w:rPr>
                <w:sz w:val="20"/>
              </w:rPr>
              <w:t>организация библиотечного обслуживание населения</w:t>
            </w:r>
          </w:p>
        </w:tc>
        <w:tc>
          <w:tcPr>
            <w:tcW w:w="2692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1330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2230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2170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2230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2230</w:t>
            </w:r>
          </w:p>
        </w:tc>
      </w:tr>
      <w:tr>
        <w:trPr>
          <w:trHeight w:val="271" w:hRule="atLeast"/>
          <w:cantSplit w:val="true"/>
        </w:trPr>
        <w:tc>
          <w:tcPr>
            <w:tcW w:w="3964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92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1330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186,2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186,2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186,2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186,2</w:t>
            </w:r>
          </w:p>
        </w:tc>
      </w:tr>
      <w:tr>
        <w:trPr>
          <w:trHeight w:val="262" w:hRule="atLeast"/>
          <w:cantSplit w:val="true"/>
        </w:trPr>
        <w:tc>
          <w:tcPr>
            <w:tcW w:w="3964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92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1330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506,6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481,6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481,6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481,6</w:t>
            </w:r>
          </w:p>
        </w:tc>
      </w:tr>
      <w:tr>
        <w:trPr>
          <w:trHeight w:val="137" w:hRule="atLeast"/>
          <w:cantSplit w:val="true"/>
        </w:trPr>
        <w:tc>
          <w:tcPr>
            <w:tcW w:w="3964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92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1330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851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>
        <w:trPr>
          <w:trHeight w:val="184" w:hRule="atLeast"/>
          <w:cantSplit w:val="true"/>
        </w:trPr>
        <w:tc>
          <w:tcPr>
            <w:tcW w:w="3964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92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1330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853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>
        <w:trPr>
          <w:trHeight w:val="520" w:hRule="atLeast"/>
          <w:cantSplit w:val="true"/>
        </w:trPr>
        <w:tc>
          <w:tcPr>
            <w:tcW w:w="3964" w:type="dxa"/>
            <w:gridSpan w:val="3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5: </w:t>
            </w:r>
            <w:r>
              <w:rPr>
                <w:sz w:val="20"/>
              </w:rPr>
              <w:t>подключение муниципальных учреждений культуры к сети Интернет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Соисполнитель: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МКУК «МБ ЛМР»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1330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5,1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5,1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>
        <w:trPr>
          <w:trHeight w:val="354" w:hRule="atLeast"/>
          <w:cantSplit w:val="true"/>
        </w:trPr>
        <w:tc>
          <w:tcPr>
            <w:tcW w:w="3964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Участники: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МБУК «ККЦ»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1330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5,1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162" w:hRule="atLeast"/>
          <w:cantSplit w:val="true"/>
        </w:trPr>
        <w:tc>
          <w:tcPr>
            <w:tcW w:w="14791" w:type="dxa"/>
            <w:gridSpan w:val="20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 xml:space="preserve">Задача 2: </w:t>
            </w:r>
            <w:r>
              <w:rPr>
                <w:sz w:val="20"/>
              </w:rPr>
              <w:t>поддержка  развитие художественно-творческой деятельности и реализация творческого потенциала жителей района</w:t>
            </w:r>
          </w:p>
        </w:tc>
      </w:tr>
      <w:tr>
        <w:trPr>
          <w:trHeight w:val="864" w:hRule="atLeast"/>
          <w:cantSplit w:val="true"/>
        </w:trPr>
        <w:tc>
          <w:tcPr>
            <w:tcW w:w="396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1: </w:t>
            </w:r>
            <w:r>
              <w:rPr>
                <w:sz w:val="20"/>
              </w:rPr>
              <w:t>привлечение детей для участия в творческих мероприятиях ЛМР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Соисполнитель: 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МУ «РУО и ДМ»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Участники: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МБО ДО «ДШИ»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30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5210000000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844" w:hRule="atLeast"/>
          <w:cantSplit w:val="true"/>
        </w:trPr>
        <w:tc>
          <w:tcPr>
            <w:tcW w:w="396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2: </w:t>
            </w:r>
            <w:r>
              <w:rPr>
                <w:sz w:val="20"/>
              </w:rPr>
              <w:t>участие обучающихся детских школ искусств района в конкурсах, фестивалях, выставках различного уровня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Соисполнитель: 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МУ «РУО и ДМ»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Участники: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МБО ДО «ДШИ»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30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834" w:hRule="atLeast"/>
          <w:cantSplit w:val="true"/>
        </w:trPr>
        <w:tc>
          <w:tcPr>
            <w:tcW w:w="3964" w:type="dxa"/>
            <w:gridSpan w:val="3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3: </w:t>
            </w:r>
            <w:r>
              <w:rPr>
                <w:sz w:val="20"/>
              </w:rPr>
              <w:t>поддержка мероприятий, направленных на развитие культуры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Соисполнитель: 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МУ «РУО и ДМ»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Участники: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МБО ДО «ДШИ»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1330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18,82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18,82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22,2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22,2</w:t>
            </w:r>
          </w:p>
        </w:tc>
      </w:tr>
      <w:tr>
        <w:trPr>
          <w:trHeight w:val="240" w:hRule="atLeast"/>
          <w:cantSplit w:val="true"/>
        </w:trPr>
        <w:tc>
          <w:tcPr>
            <w:tcW w:w="3964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Соисполнитель: 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МКУК «МБ ЛМР»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1330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9,9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9,9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13,2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13,2</w:t>
            </w:r>
          </w:p>
        </w:tc>
      </w:tr>
      <w:tr>
        <w:trPr>
          <w:trHeight w:val="430" w:hRule="atLeast"/>
          <w:cantSplit w:val="true"/>
        </w:trPr>
        <w:tc>
          <w:tcPr>
            <w:tcW w:w="396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4: </w:t>
            </w:r>
            <w:r>
              <w:rPr>
                <w:sz w:val="20"/>
              </w:rPr>
              <w:t>участие населения района в культурно-досуговых мероприятиях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Соисполнитель: 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МУ «РУО и ДМ»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МКУК «МБ ЛМР»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Участники: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МБО ДО «ДШИ», МБУК «ККЦ»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30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33" w:hRule="atLeast"/>
          <w:cantSplit w:val="true"/>
        </w:trPr>
        <w:tc>
          <w:tcPr>
            <w:tcW w:w="14791" w:type="dxa"/>
            <w:gridSpan w:val="20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 xml:space="preserve">Задача 3: </w:t>
            </w:r>
            <w:r>
              <w:rPr>
                <w:sz w:val="20"/>
              </w:rPr>
              <w:t>укрепление материально-технической базы муниципальных учреждений культуры</w:t>
            </w:r>
          </w:p>
        </w:tc>
      </w:tr>
      <w:tr>
        <w:trPr>
          <w:trHeight w:val="485" w:hRule="atLeast"/>
          <w:cantSplit w:val="true"/>
        </w:trPr>
        <w:tc>
          <w:tcPr>
            <w:tcW w:w="3964" w:type="dxa"/>
            <w:gridSpan w:val="3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1: </w:t>
            </w:r>
            <w:r>
              <w:rPr>
                <w:sz w:val="20"/>
              </w:rPr>
              <w:t>оснащение материально-технической базой (программным обеспечением, компьютерами, экспозиционно-выставочным оборудованием)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Соисполнитель: 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МКУК «МБ ЛМР»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1330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5210000000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80,98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59,18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97,8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70,2</w:t>
            </w:r>
          </w:p>
        </w:tc>
      </w:tr>
      <w:tr>
        <w:trPr>
          <w:trHeight w:val="834" w:hRule="atLeast"/>
          <w:cantSplit w:val="true"/>
        </w:trPr>
        <w:tc>
          <w:tcPr>
            <w:tcW w:w="3964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Участники: 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МБУК «ККЦ»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1330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38,2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83,9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56,8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87,4</w:t>
            </w:r>
          </w:p>
        </w:tc>
      </w:tr>
      <w:tr>
        <w:trPr>
          <w:trHeight w:val="242" w:hRule="atLeast"/>
          <w:cantSplit w:val="true"/>
        </w:trPr>
        <w:tc>
          <w:tcPr>
            <w:tcW w:w="14791" w:type="dxa"/>
            <w:gridSpan w:val="20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Подпрограмма 2: «Комплексные мероприятия в области работы с молодёжью»</w:t>
            </w:r>
          </w:p>
        </w:tc>
      </w:tr>
      <w:tr>
        <w:trPr>
          <w:trHeight w:val="273" w:hRule="atLeast"/>
          <w:cantSplit w:val="true"/>
        </w:trPr>
        <w:tc>
          <w:tcPr>
            <w:tcW w:w="14791" w:type="dxa"/>
            <w:gridSpan w:val="20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 xml:space="preserve">Задача 1: </w:t>
            </w:r>
            <w:r>
              <w:rPr>
                <w:sz w:val="20"/>
              </w:rPr>
              <w:t xml:space="preserve">создание условий для успешной социализации и эффективной самореализации молодёжи Лахденпохского муниципального района, развитие потенциала молодёжи в интересах социально-экономического развития района </w:t>
            </w:r>
          </w:p>
        </w:tc>
      </w:tr>
      <w:tr>
        <w:trPr>
          <w:trHeight w:val="223" w:hRule="atLeast"/>
          <w:cantSplit w:val="true"/>
        </w:trPr>
        <w:tc>
          <w:tcPr>
            <w:tcW w:w="21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76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26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</w:t>
            </w:r>
            <w:r>
              <w:rPr>
                <w:sz w:val="20"/>
              </w:rPr>
              <w:t>Всего: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3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6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228,8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242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256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270,2</w:t>
            </w:r>
          </w:p>
        </w:tc>
      </w:tr>
      <w:tr>
        <w:trPr>
          <w:trHeight w:val="430" w:hRule="atLeast"/>
          <w:cantSplit w:val="true"/>
        </w:trPr>
        <w:tc>
          <w:tcPr>
            <w:tcW w:w="396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1: </w:t>
            </w:r>
            <w:r>
              <w:rPr>
                <w:sz w:val="20"/>
              </w:rPr>
              <w:t>организация и проведение мероприятий, направленных на укрепление социального статуса семьи, семейных ценностей и традиций</w:t>
            </w:r>
          </w:p>
        </w:tc>
        <w:tc>
          <w:tcPr>
            <w:tcW w:w="2692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Отв. исп.: АЛМР (ОСР)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0707</w:t>
            </w:r>
          </w:p>
        </w:tc>
        <w:tc>
          <w:tcPr>
            <w:tcW w:w="1330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5220000000</w:t>
            </w:r>
          </w:p>
        </w:tc>
        <w:tc>
          <w:tcPr>
            <w:tcW w:w="657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>
        <w:trPr>
          <w:trHeight w:val="802" w:hRule="atLeast"/>
          <w:cantSplit w:val="true"/>
        </w:trPr>
        <w:tc>
          <w:tcPr>
            <w:tcW w:w="396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2: </w:t>
            </w:r>
            <w:r>
              <w:rPr>
                <w:sz w:val="20"/>
              </w:rPr>
              <w:t>развитие молодёжного консультативно-совещательного органа</w:t>
            </w:r>
          </w:p>
        </w:tc>
        <w:tc>
          <w:tcPr>
            <w:tcW w:w="2692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0707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0707</w:t>
            </w:r>
          </w:p>
        </w:tc>
        <w:tc>
          <w:tcPr>
            <w:tcW w:w="1330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57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>
        <w:trPr>
          <w:trHeight w:val="1305" w:hRule="atLeast"/>
          <w:cantSplit w:val="true"/>
        </w:trPr>
        <w:tc>
          <w:tcPr>
            <w:tcW w:w="396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3: </w:t>
            </w:r>
            <w:r>
              <w:rPr>
                <w:sz w:val="20"/>
              </w:rPr>
              <w:t>мероприятия, направленные на пропаганду народных промыслов среди молодёжи, поддержку молодых специалистов и молодых граждан, достигших особых успехов в трудовой, творческой, социальной деятельности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Участник: МБО ДО «ЛЦДТ»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Соисполнитель: МУ «РУО и ДМ»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Отв. исп.: АЛМР (ОСР)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040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040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0707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0707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0707</w:t>
            </w:r>
          </w:p>
        </w:tc>
        <w:tc>
          <w:tcPr>
            <w:tcW w:w="1330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610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</w:tr>
      <w:tr>
        <w:trPr>
          <w:trHeight w:val="430" w:hRule="atLeast"/>
          <w:cantSplit w:val="true"/>
        </w:trPr>
        <w:tc>
          <w:tcPr>
            <w:tcW w:w="396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4: </w:t>
            </w:r>
            <w:r>
              <w:rPr>
                <w:sz w:val="20"/>
              </w:rPr>
              <w:t>организация и проведение мероприятий, направленных на разностороннее развитие молодых людей, физическое развитие, поддержку инициативы и творчества молодёжи, формирование здорового образа жизни, социализацию молодых граждан с ограниченными возможностями здоровья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Ответственный исполнитель: АЛМР (ОСР)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0707</w:t>
            </w:r>
          </w:p>
        </w:tc>
        <w:tc>
          <w:tcPr>
            <w:tcW w:w="1330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</w:tr>
      <w:tr>
        <w:trPr>
          <w:trHeight w:val="238" w:hRule="atLeast"/>
          <w:cantSplit w:val="true"/>
        </w:trPr>
        <w:tc>
          <w:tcPr>
            <w:tcW w:w="14791" w:type="dxa"/>
            <w:gridSpan w:val="20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>Задача 2:</w:t>
            </w:r>
            <w:r>
              <w:rPr>
                <w:sz w:val="20"/>
              </w:rPr>
              <w:t xml:space="preserve"> создание условий для совершенствования системы патриотического воспитания и допризывной подготовки молодёжи, 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направленной на духовно-нравственное воспитание</w:t>
            </w:r>
          </w:p>
        </w:tc>
      </w:tr>
      <w:tr>
        <w:trPr>
          <w:trHeight w:val="1517" w:hRule="atLeast"/>
          <w:cantSplit w:val="true"/>
        </w:trPr>
        <w:tc>
          <w:tcPr>
            <w:tcW w:w="396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1: </w:t>
            </w:r>
            <w:r>
              <w:rPr>
                <w:sz w:val="20"/>
              </w:rPr>
              <w:t>организация и проведение мероприятий патриотической и духовно-нравственной направленности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Отв. исп.: АЛМР (ОСР)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Соисполнитель: МУ «РУО и ДМ»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Ответственный исполнитель: АЛМР (ОСР)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040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0707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0707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0707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33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5220000000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44,8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49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52,2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>
        <w:trPr>
          <w:trHeight w:val="281" w:hRule="atLeast"/>
          <w:cantSplit w:val="true"/>
        </w:trPr>
        <w:tc>
          <w:tcPr>
            <w:tcW w:w="14791" w:type="dxa"/>
            <w:gridSpan w:val="20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Подпрограмма 3: «Содействие занятости несовершеннолетних граждан»</w:t>
            </w:r>
          </w:p>
        </w:tc>
      </w:tr>
      <w:tr>
        <w:trPr>
          <w:trHeight w:val="258" w:hRule="atLeast"/>
          <w:cantSplit w:val="true"/>
        </w:trPr>
        <w:tc>
          <w:tcPr>
            <w:tcW w:w="14791" w:type="dxa"/>
            <w:gridSpan w:val="20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>Задача 1</w:t>
            </w:r>
            <w:r>
              <w:rPr>
                <w:sz w:val="20"/>
              </w:rPr>
              <w:t xml:space="preserve">: организация профессиональной ориентации несовершеннолетних граждан </w:t>
            </w:r>
          </w:p>
        </w:tc>
      </w:tr>
      <w:tr>
        <w:trPr>
          <w:trHeight w:val="276" w:hRule="atLeast"/>
          <w:cantSplit w:val="true"/>
        </w:trPr>
        <w:tc>
          <w:tcPr>
            <w:tcW w:w="9919" w:type="dxa"/>
            <w:gridSpan w:val="10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sz w:val="20"/>
              </w:rPr>
              <w:t>Всего: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210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230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250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300</w:t>
            </w:r>
          </w:p>
        </w:tc>
      </w:tr>
      <w:tr>
        <w:trPr>
          <w:trHeight w:val="430" w:hRule="atLeast"/>
          <w:cantSplit w:val="true"/>
        </w:trPr>
        <w:tc>
          <w:tcPr>
            <w:tcW w:w="396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 xml:space="preserve">Мероприятие 1: 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Информирование несовершеннолетних граждан о реализации Программы через СМИ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Ответственный исполнитель: АЛМР (ОСР)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30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6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430" w:hRule="atLeast"/>
          <w:cantSplit w:val="true"/>
        </w:trPr>
        <w:tc>
          <w:tcPr>
            <w:tcW w:w="396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2: </w:t>
            </w:r>
            <w:r>
              <w:rPr>
                <w:sz w:val="20"/>
              </w:rPr>
              <w:t>проведение ярмарок вакансий по организации временного трудоустройства несовершеннолетних граждан в возрасте от 14 до 18 лет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Участник: ГКУ РК «ЦЗН»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30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430" w:hRule="atLeast"/>
          <w:cantSplit w:val="true"/>
        </w:trPr>
        <w:tc>
          <w:tcPr>
            <w:tcW w:w="396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3: </w:t>
            </w:r>
            <w:r>
              <w:rPr>
                <w:sz w:val="20"/>
              </w:rPr>
              <w:t>заключение трёхсторонних договоров по организации временного трудоустройства несовершеннолетних граждан с предприятиями, организациями, учреждениями района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Ответственный исполнитель: АЛМР (ОСР)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Участник: ГКУ РК «ЦЗН»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30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16" w:hRule="atLeast"/>
          <w:cantSplit w:val="true"/>
        </w:trPr>
        <w:tc>
          <w:tcPr>
            <w:tcW w:w="14791" w:type="dxa"/>
            <w:gridSpan w:val="20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 xml:space="preserve">Задача 2: </w:t>
            </w:r>
            <w:r>
              <w:rPr>
                <w:sz w:val="20"/>
              </w:rPr>
              <w:t>организация временной занятости и трудоустройства несовершеннолетних граждан в возрасте от 14 до 18 лет</w:t>
            </w:r>
          </w:p>
        </w:tc>
      </w:tr>
      <w:tr>
        <w:trPr>
          <w:trHeight w:val="430" w:hRule="atLeast"/>
          <w:cantSplit w:val="true"/>
        </w:trPr>
        <w:tc>
          <w:tcPr>
            <w:tcW w:w="396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1: </w:t>
            </w:r>
            <w:r>
              <w:rPr>
                <w:sz w:val="20"/>
              </w:rPr>
              <w:t>формирование реестра предприятий и организаций, предоставляющих рабочие места для временного трудоустройства несовершеннолетних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Ответственный исполнитель: АЛМР (ОСР)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Участник: ГКУ РК «ЦЗН»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30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5230000000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430" w:hRule="atLeast"/>
          <w:cantSplit w:val="true"/>
        </w:trPr>
        <w:tc>
          <w:tcPr>
            <w:tcW w:w="3964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2: </w:t>
            </w:r>
            <w:r>
              <w:rPr>
                <w:sz w:val="20"/>
              </w:rPr>
              <w:t>финансирование временного трудоустройства несовершеннолетних на основании трёхстороннего трудового договора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Соисполнитель: 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МУ «РУО и ДМ»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Участник: ГКУ РК «ЦЗН»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0401</w:t>
            </w:r>
          </w:p>
        </w:tc>
        <w:tc>
          <w:tcPr>
            <w:tcW w:w="1330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5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110,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210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230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</w:tr>
    </w:tbl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  <w:t>Таблица 4</w:t>
      </w:r>
    </w:p>
    <w:p>
      <w:pPr>
        <w:pStyle w:val="Normal"/>
        <w:jc w:val="center"/>
        <w:rPr/>
      </w:pPr>
      <w:r>
        <w:rPr>
          <w:b/>
        </w:rPr>
        <w:t xml:space="preserve">Финансовое обеспечение и прогнозная (справочная) оценка расходов бюджетов поселений, средств юридических лиц и других источников на реализацию муниципальной программы </w:t>
      </w:r>
      <w:r>
        <w:rPr/>
        <w:t xml:space="preserve"> </w:t>
      </w:r>
      <w:r>
        <w:rPr>
          <w:b/>
        </w:rPr>
        <w:t>«Развитие сферы культуры и организация работы с молодёжью</w:t>
      </w:r>
    </w:p>
    <w:p>
      <w:pPr>
        <w:pStyle w:val="Normal"/>
        <w:jc w:val="center"/>
        <w:rPr>
          <w:b/>
          <w:b/>
        </w:rPr>
      </w:pPr>
      <w:r>
        <w:rPr>
          <w:b/>
        </w:rPr>
        <w:t>в Лахденпохском муниципальном районе» на 2017-2021 годы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tbl>
      <w:tblPr>
        <w:tblW w:w="14880" w:type="dxa"/>
        <w:jc w:val="left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0" w:type="dxa"/>
          <w:left w:w="61" w:type="dxa"/>
          <w:bottom w:w="0" w:type="dxa"/>
          <w:right w:w="70" w:type="dxa"/>
        </w:tblCellMar>
      </w:tblPr>
      <w:tblGrid>
        <w:gridCol w:w="1696"/>
        <w:gridCol w:w="2631"/>
        <w:gridCol w:w="6102"/>
        <w:gridCol w:w="623"/>
        <w:gridCol w:w="939"/>
        <w:gridCol w:w="905"/>
        <w:gridCol w:w="940"/>
        <w:gridCol w:w="1042"/>
      </w:tblGrid>
      <w:tr>
        <w:trPr>
          <w:trHeight w:val="409" w:hRule="atLeast"/>
          <w:cantSplit w:val="true"/>
        </w:trPr>
        <w:tc>
          <w:tcPr>
            <w:tcW w:w="16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Статус</w:t>
            </w:r>
          </w:p>
        </w:tc>
        <w:tc>
          <w:tcPr>
            <w:tcW w:w="26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мун. программы,  мун. подпрограммы, мун.целевой программы, основного мероприятия</w:t>
            </w:r>
          </w:p>
        </w:tc>
        <w:tc>
          <w:tcPr>
            <w:tcW w:w="61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Источники финансового обеспечения</w:t>
            </w:r>
          </w:p>
        </w:tc>
        <w:tc>
          <w:tcPr>
            <w:tcW w:w="4449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Оценка расходов    </w:t>
              <w:br/>
              <w:t>(тыс. руб.), годы</w:t>
            </w:r>
          </w:p>
        </w:tc>
      </w:tr>
      <w:tr>
        <w:trPr>
          <w:trHeight w:val="278" w:hRule="atLeast"/>
          <w:cantSplit w:val="true"/>
        </w:trPr>
        <w:tc>
          <w:tcPr>
            <w:tcW w:w="169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3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02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2018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2019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6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Муниципальная программа</w:t>
            </w:r>
          </w:p>
        </w:tc>
        <w:tc>
          <w:tcPr>
            <w:tcW w:w="26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 xml:space="preserve">«Развитие сферы культуры и организация работы с молодёжью в Лахденпохском муниципальном районе» </w:t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на 2017-2021 годы</w:t>
            </w:r>
          </w:p>
        </w:tc>
        <w:tc>
          <w:tcPr>
            <w:tcW w:w="6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Всего                       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5504,788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5491,283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5610,526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5688,485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3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средства бюджета Лахденпохского муниципального района   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5504,788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5491,283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5610,526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5688,485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3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3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средства, поступающие в бюджет Лахденпохского муниципального района из федерального бюджета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3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3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бюджеты   муниципальных образований (поселений)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3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другие источники (юридические лица и др.)  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Подпрограмма 1</w:t>
            </w:r>
          </w:p>
        </w:tc>
        <w:tc>
          <w:tcPr>
            <w:tcW w:w="26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«Развитие муниципальных учреждений в сфере культуры»</w:t>
            </w:r>
          </w:p>
        </w:tc>
        <w:tc>
          <w:tcPr>
            <w:tcW w:w="6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Всего                       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5065,988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5019,283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5104,526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5118,285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3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средства бюджета Лахденпохского муниципального района   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5065,988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5019,283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5104,526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5118,485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3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3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средства, поступающие в бюджет Лахденпохского муниципального района из федерального бюджета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3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3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бюджеты   муниципальных образований (поселений)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3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другие источники (юридические лица и др.)  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Подпрограмма 2</w:t>
            </w:r>
          </w:p>
        </w:tc>
        <w:tc>
          <w:tcPr>
            <w:tcW w:w="26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«Комплексные мероприятия в области работы с молодёжью»</w:t>
            </w:r>
          </w:p>
        </w:tc>
        <w:tc>
          <w:tcPr>
            <w:tcW w:w="6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Всего                       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228,8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242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256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270,2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3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средства бюджета Лахденпохского муниципального района   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228,8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242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256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270,2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3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3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средства, поступающие в бюджет Лахденпохского муниципального района из федерального бюджета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3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3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бюджеты   муниципальных образований (поселений)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3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другие источники (юридические лица и др.)  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Подпрограмма 3</w:t>
            </w:r>
          </w:p>
        </w:tc>
        <w:tc>
          <w:tcPr>
            <w:tcW w:w="2631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«Содействие занятости несовершеннолетних граждан»</w:t>
            </w:r>
          </w:p>
        </w:tc>
        <w:tc>
          <w:tcPr>
            <w:tcW w:w="610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Всего                       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210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230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250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300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31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0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средства бюджета Лахденпохского муниципального района   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210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230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31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0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31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0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средства, поступающие в бюджет Лахденпохского муниципального района из федерального бюджета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31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0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31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0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бюджеты   муниципальных образований (поселений)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31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0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другие источники (юридические лица и др.)  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  <w:t>Таблица 5</w:t>
      </w:r>
    </w:p>
    <w:p>
      <w:pPr>
        <w:pStyle w:val="Normal"/>
        <w:jc w:val="center"/>
        <w:rPr>
          <w:b/>
          <w:b/>
        </w:rPr>
      </w:pPr>
      <w:r>
        <w:rPr>
          <w:b/>
        </w:rPr>
        <w:t>ПЛАН РЕАЛИЗАЦИИ МУНИЦИПАЛЬНОЙ ПРОГРАММЫ ЛАХДЕНПОХСКОГО МУНИЦИПАЛЬНОГО РАЙОНА</w:t>
      </w:r>
    </w:p>
    <w:p>
      <w:pPr>
        <w:pStyle w:val="Normal"/>
        <w:jc w:val="center"/>
        <w:rPr>
          <w:b/>
          <w:b/>
        </w:rPr>
      </w:pPr>
      <w:r>
        <w:rPr>
          <w:b/>
        </w:rPr>
        <w:t xml:space="preserve"> </w:t>
      </w:r>
      <w:r>
        <w:rPr>
          <w:b/>
        </w:rPr>
        <w:t xml:space="preserve">«Развитие сферы культуры и организация работы с молодёжью в Лахденпохском муниципальном районе» </w:t>
      </w:r>
    </w:p>
    <w:p>
      <w:pPr>
        <w:pStyle w:val="Normal"/>
        <w:jc w:val="center"/>
        <w:rPr>
          <w:b/>
          <w:b/>
        </w:rPr>
      </w:pPr>
      <w:r>
        <w:rPr>
          <w:b/>
        </w:rPr>
        <w:t>на 2017-2021 годы</w:t>
      </w:r>
    </w:p>
    <w:p>
      <w:pPr>
        <w:pStyle w:val="Normal"/>
        <w:rPr>
          <w:sz w:val="20"/>
        </w:rPr>
      </w:pPr>
      <w:r>
        <w:rPr>
          <w:sz w:val="20"/>
        </w:rPr>
      </w:r>
    </w:p>
    <w:tbl>
      <w:tblPr>
        <w:tblW w:w="27874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6" w:space="0" w:color="000000"/>
          <w:right w:val="single" w:sz="4" w:space="0" w:color="000000"/>
          <w:insideH w:val="single" w:sz="6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326"/>
        <w:gridCol w:w="1327"/>
        <w:gridCol w:w="1327"/>
        <w:gridCol w:w="1327"/>
        <w:gridCol w:w="1327"/>
        <w:gridCol w:w="1326"/>
        <w:gridCol w:w="1327"/>
        <w:gridCol w:w="1327"/>
        <w:gridCol w:w="1327"/>
        <w:gridCol w:w="1327"/>
        <w:gridCol w:w="1326"/>
        <w:gridCol w:w="1327"/>
        <w:gridCol w:w="1327"/>
        <w:gridCol w:w="1327"/>
        <w:gridCol w:w="805"/>
        <w:gridCol w:w="25"/>
        <w:gridCol w:w="494"/>
        <w:gridCol w:w="25"/>
        <w:gridCol w:w="25"/>
        <w:gridCol w:w="569"/>
        <w:gridCol w:w="2"/>
        <w:gridCol w:w="23"/>
        <w:gridCol w:w="543"/>
        <w:gridCol w:w="140"/>
        <w:gridCol w:w="429"/>
        <w:gridCol w:w="3"/>
        <w:gridCol w:w="565"/>
        <w:gridCol w:w="329"/>
        <w:gridCol w:w="240"/>
        <w:gridCol w:w="569"/>
        <w:gridCol w:w="2"/>
        <w:gridCol w:w="516"/>
        <w:gridCol w:w="50"/>
        <w:gridCol w:w="569"/>
        <w:gridCol w:w="3"/>
        <w:gridCol w:w="566"/>
        <w:gridCol w:w="139"/>
        <w:gridCol w:w="429"/>
        <w:gridCol w:w="3"/>
        <w:gridCol w:w="566"/>
        <w:gridCol w:w="329"/>
        <w:gridCol w:w="239"/>
        <w:gridCol w:w="569"/>
        <w:gridCol w:w="529"/>
      </w:tblGrid>
      <w:tr>
        <w:trPr>
          <w:trHeight w:val="525" w:hRule="atLeast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подпрограммы  муниципальной программы,    ведомственной  целевой программы, региональной программы, основного    мероприятия,  мероприятия,  долгосрочной   целевой программы</w:t>
            </w: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Ответственный исполнитель (ГРБС, ФИО, должность)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Срок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и значение показателя непосредственного результата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Код бюджетной классификации</w:t>
            </w:r>
          </w:p>
        </w:tc>
        <w:tc>
          <w:tcPr>
            <w:tcW w:w="21236" w:type="dxa"/>
            <w:gridSpan w:val="39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tabs>
                <w:tab w:val="clear" w:pos="720"/>
                <w:tab w:val="left" w:pos="2383" w:leader="none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Расходы (тыс.руб.)</w:t>
            </w:r>
          </w:p>
        </w:tc>
      </w:tr>
      <w:tr>
        <w:trPr>
          <w:trHeight w:val="1813" w:hRule="atLeast"/>
        </w:trPr>
        <w:tc>
          <w:tcPr>
            <w:tcW w:w="13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начала  реализации  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окончания реализации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1326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Значение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раздел, подраздел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целевая статья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вид расходов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2018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2019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2020</w:t>
            </w:r>
          </w:p>
        </w:tc>
        <w:tc>
          <w:tcPr>
            <w:tcW w:w="9295" w:type="dxa"/>
            <w:gridSpan w:val="30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</w:tr>
      <w:tr>
        <w:trPr>
          <w:trHeight w:val="1200" w:hRule="atLeast"/>
          <w:cantSplit w:val="true"/>
        </w:trPr>
        <w:tc>
          <w:tcPr>
            <w:tcW w:w="132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6" w:type="dxa"/>
            <w:vMerge w:val="continue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2015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2016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2018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2019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2020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4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gridSpan w:val="7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6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gridSpan w:val="5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37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</w:tr>
      <w:tr>
        <w:trPr>
          <w:trHeight w:val="300" w:hRule="atLeast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326" w:type="dxa"/>
            <w:vMerge w:val="continue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569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706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70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</w:tr>
      <w:tr>
        <w:trPr>
          <w:trHeight w:val="1134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>Программа:</w:t>
            </w:r>
            <w:r>
              <w:rPr>
                <w:sz w:val="20"/>
              </w:rPr>
              <w:t xml:space="preserve"> «Развитие сферы культуры и организация работы с молодёжью в Лахденпохском муниципальном районе» 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на 2017-2021 годы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АЛМР (ОСР)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Соисполнители: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МКУК «МБ ЛМР»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МУ «РУО и ДМ»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Участники: МБУК «ККЦ»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6" w:type="dxa"/>
            <w:vMerge w:val="continue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8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569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706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5504,788</w:t>
            </w:r>
          </w:p>
        </w:tc>
        <w:tc>
          <w:tcPr>
            <w:tcW w:w="170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5491,283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5610,526</w:t>
            </w: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5688,485</w:t>
            </w:r>
          </w:p>
        </w:tc>
      </w:tr>
      <w:tr>
        <w:trPr>
          <w:trHeight w:val="1134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 xml:space="preserve">Подпрограмма 1: </w:t>
            </w:r>
            <w:r>
              <w:rPr>
                <w:sz w:val="20"/>
              </w:rPr>
              <w:t>«Развитие муниципальных учреждений в сфере культуры»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АЛМР (ОСР)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Соисполнители: МКУК «МБ ЛМР», МБУК «ККЦ»,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МУ «РУО и ДМ»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6" w:type="dxa"/>
            <w:vMerge w:val="continue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8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569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706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ind w:left="113" w:right="113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righ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5065,988</w:t>
            </w:r>
          </w:p>
        </w:tc>
        <w:tc>
          <w:tcPr>
            <w:tcW w:w="170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righ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5019,283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righ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5104,526</w:t>
            </w: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righ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5118,285</w:t>
            </w:r>
          </w:p>
        </w:tc>
      </w:tr>
      <w:tr>
        <w:trPr>
          <w:trHeight w:val="300" w:hRule="atLeast"/>
        </w:trPr>
        <w:tc>
          <w:tcPr>
            <w:tcW w:w="66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 xml:space="preserve">Задача 1: </w:t>
            </w:r>
            <w:r>
              <w:rPr>
                <w:sz w:val="20"/>
              </w:rPr>
              <w:t>сохранение культурного и исторического наследия и расширения доступа граждан к культурным ценностям и информации</w:t>
            </w:r>
          </w:p>
        </w:tc>
        <w:tc>
          <w:tcPr>
            <w:tcW w:w="1326" w:type="dxa"/>
            <w:vMerge w:val="continue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910" w:type="dxa"/>
            <w:gridSpan w:val="38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34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1: </w:t>
            </w:r>
            <w:r>
              <w:rPr>
                <w:sz w:val="20"/>
              </w:rPr>
              <w:t>ремонт объектов воинских захоронений, расположенных на территории сельских поселений района.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АЛМР (ОСР)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 xml:space="preserve">Объекты </w:t>
            </w:r>
          </w:p>
        </w:tc>
        <w:tc>
          <w:tcPr>
            <w:tcW w:w="1326" w:type="dxa"/>
            <w:vMerge w:val="continue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0503</w:t>
            </w:r>
          </w:p>
        </w:tc>
        <w:tc>
          <w:tcPr>
            <w:tcW w:w="569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5210000000</w:t>
            </w:r>
          </w:p>
        </w:tc>
        <w:tc>
          <w:tcPr>
            <w:tcW w:w="1706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2,788</w:t>
            </w:r>
          </w:p>
        </w:tc>
        <w:tc>
          <w:tcPr>
            <w:tcW w:w="170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1,483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1,326</w:t>
            </w: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1,485</w:t>
            </w:r>
          </w:p>
        </w:tc>
      </w:tr>
      <w:tr>
        <w:trPr>
          <w:trHeight w:val="1220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2: </w:t>
            </w:r>
            <w:r>
              <w:rPr>
                <w:sz w:val="20"/>
              </w:rPr>
              <w:t>развитие музейного дела</w:t>
            </w: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Участник: МБУК «ККЦ»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both"/>
              <w:rPr>
                <w:sz w:val="20"/>
              </w:rPr>
            </w:pPr>
            <w:r>
              <w:rPr>
                <w:sz w:val="20"/>
              </w:rPr>
              <w:t>Посетители ККЦ</w:t>
            </w:r>
          </w:p>
        </w:tc>
        <w:tc>
          <w:tcPr>
            <w:tcW w:w="1326" w:type="dxa"/>
            <w:vMerge w:val="continue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both"/>
              <w:rPr>
                <w:sz w:val="20"/>
              </w:rPr>
            </w:pPr>
            <w:r>
              <w:rPr>
                <w:sz w:val="20"/>
              </w:rPr>
              <w:t>Человек (тыс.)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4,8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4,8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4,9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5,1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5,2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5,3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569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6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610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1948,0</w:t>
            </w:r>
          </w:p>
        </w:tc>
        <w:tc>
          <w:tcPr>
            <w:tcW w:w="170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1948,0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1948,0</w:t>
            </w: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1948,0</w:t>
            </w:r>
          </w:p>
        </w:tc>
      </w:tr>
      <w:tr>
        <w:trPr>
          <w:trHeight w:val="1134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>2.1.:</w:t>
            </w:r>
            <w:r>
              <w:rPr>
                <w:sz w:val="20"/>
              </w:rPr>
              <w:t xml:space="preserve"> представление (во всех формах) зрителю музейных предметов в общем количестве музейных предметов основного фонда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>Музейные предметы</w:t>
            </w:r>
          </w:p>
        </w:tc>
        <w:tc>
          <w:tcPr>
            <w:tcW w:w="1326" w:type="dxa"/>
            <w:vMerge w:val="continue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650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700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750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850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900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950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9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706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0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138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3: </w:t>
            </w:r>
            <w:r>
              <w:rPr>
                <w:sz w:val="20"/>
              </w:rPr>
              <w:t xml:space="preserve">комплектование библиотечных фондов муниципальной библиотеки 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Соисполнитель: МКУК «МБ ЛМР»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6" w:type="dxa"/>
            <w:vMerge w:val="continue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>Экземпляры библиотечного фонда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157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210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262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315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619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5210000000</w:t>
            </w:r>
          </w:p>
        </w:tc>
        <w:tc>
          <w:tcPr>
            <w:tcW w:w="1705" w:type="dxa"/>
            <w:gridSpan w:val="7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31,4</w:t>
            </w:r>
          </w:p>
        </w:tc>
        <w:tc>
          <w:tcPr>
            <w:tcW w:w="1706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42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52,4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63</w:t>
            </w:r>
          </w:p>
        </w:tc>
      </w:tr>
      <w:tr>
        <w:trPr>
          <w:trHeight w:val="1680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4: </w:t>
            </w:r>
            <w:r>
              <w:rPr>
                <w:sz w:val="20"/>
              </w:rPr>
              <w:t>подключение муниципальных учреждений культуры к сети Интернет за отчётный год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Соисполнитель: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МКУК «МБ ЛМР»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Участник: МБУК «ККЦ»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6" w:type="dxa"/>
            <w:vMerge w:val="continue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>Рабочие места с доступом  к сети Интернет за отчётный год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619" w:type="dxa"/>
            <w:gridSpan w:val="3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5210000000</w:t>
            </w:r>
          </w:p>
        </w:tc>
        <w:tc>
          <w:tcPr>
            <w:tcW w:w="1705" w:type="dxa"/>
            <w:gridSpan w:val="7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5,1</w:t>
            </w:r>
          </w:p>
        </w:tc>
        <w:tc>
          <w:tcPr>
            <w:tcW w:w="1706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5,1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</w:tr>
      <w:tr>
        <w:trPr>
          <w:trHeight w:val="1414" w:hRule="atLeast"/>
          <w:cantSplit w:val="true"/>
        </w:trPr>
        <w:tc>
          <w:tcPr>
            <w:tcW w:w="132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6" w:type="dxa"/>
            <w:vMerge w:val="continue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610</w:t>
            </w:r>
          </w:p>
        </w:tc>
        <w:tc>
          <w:tcPr>
            <w:tcW w:w="619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7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70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5,1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09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5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5: </w:t>
            </w:r>
            <w:r>
              <w:rPr>
                <w:sz w:val="20"/>
              </w:rPr>
              <w:t>организация библиотечного обслуживание населения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Соисполнитель:</w:t>
            </w:r>
          </w:p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МКУК «МБ ЛМР»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6" w:type="dxa"/>
            <w:vMerge w:val="continue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>посещение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>Человек (тыс.)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13,0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13,1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13,2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13,3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13,4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13,5</w:t>
            </w:r>
          </w:p>
        </w:tc>
        <w:tc>
          <w:tcPr>
            <w:tcW w:w="519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619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5" w:type="dxa"/>
            <w:gridSpan w:val="7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2930,8</w:t>
            </w:r>
          </w:p>
        </w:tc>
        <w:tc>
          <w:tcPr>
            <w:tcW w:w="1706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2845,8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2905,8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2905,8</w:t>
            </w:r>
          </w:p>
        </w:tc>
      </w:tr>
      <w:tr>
        <w:trPr>
          <w:trHeight w:val="561" w:hRule="atLeast"/>
          <w:cantSplit w:val="true"/>
        </w:trPr>
        <w:tc>
          <w:tcPr>
            <w:tcW w:w="13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459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519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9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7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2230</w:t>
            </w:r>
          </w:p>
        </w:tc>
        <w:tc>
          <w:tcPr>
            <w:tcW w:w="170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2170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2230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2230</w:t>
            </w:r>
          </w:p>
        </w:tc>
        <w:tc>
          <w:tcPr>
            <w:tcW w:w="109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57" w:hRule="atLeast"/>
          <w:cantSplit w:val="true"/>
        </w:trPr>
        <w:tc>
          <w:tcPr>
            <w:tcW w:w="13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459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242</w:t>
            </w:r>
          </w:p>
        </w:tc>
        <w:tc>
          <w:tcPr>
            <w:tcW w:w="519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9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7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186,2</w:t>
            </w:r>
          </w:p>
        </w:tc>
        <w:tc>
          <w:tcPr>
            <w:tcW w:w="170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186,2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186,2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186,2</w:t>
            </w:r>
          </w:p>
        </w:tc>
        <w:tc>
          <w:tcPr>
            <w:tcW w:w="109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81" w:hRule="atLeast"/>
          <w:cantSplit w:val="true"/>
        </w:trPr>
        <w:tc>
          <w:tcPr>
            <w:tcW w:w="13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78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w="519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9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7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506,6</w:t>
            </w:r>
          </w:p>
        </w:tc>
        <w:tc>
          <w:tcPr>
            <w:tcW w:w="170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481,6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481,6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481,6</w:t>
            </w:r>
          </w:p>
        </w:tc>
        <w:tc>
          <w:tcPr>
            <w:tcW w:w="109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77" w:hRule="atLeast"/>
          <w:cantSplit w:val="true"/>
        </w:trPr>
        <w:tc>
          <w:tcPr>
            <w:tcW w:w="13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78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851</w:t>
            </w:r>
          </w:p>
        </w:tc>
        <w:tc>
          <w:tcPr>
            <w:tcW w:w="519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9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7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70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9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87" w:hRule="atLeast"/>
          <w:cantSplit w:val="true"/>
        </w:trPr>
        <w:tc>
          <w:tcPr>
            <w:tcW w:w="132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78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853</w:t>
            </w:r>
          </w:p>
        </w:tc>
        <w:tc>
          <w:tcPr>
            <w:tcW w:w="519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9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7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70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9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08" w:hRule="atLeast"/>
          <w:cantSplit w:val="true"/>
        </w:trPr>
        <w:tc>
          <w:tcPr>
            <w:tcW w:w="1940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>Задача 2:</w:t>
            </w:r>
            <w:r>
              <w:rPr>
                <w:sz w:val="20"/>
              </w:rPr>
              <w:t xml:space="preserve"> поддержка и развитие художественно-творческой деятельности и реализация творческого потенциала жителей района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9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27" w:type="dxa"/>
            <w:gridSpan w:val="2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967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1: </w:t>
            </w:r>
            <w:r>
              <w:rPr>
                <w:sz w:val="20"/>
              </w:rPr>
              <w:t>привлечение детей для участия в творческих мероприятиях Лахденпохского муниципального района</w:t>
            </w: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Соисполнитель: 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МУ «РУО и ДМ»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Участники: МБО ДО «ДШИ»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>Доля  детей от общего количества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 xml:space="preserve">Процент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19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9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5" w:type="dxa"/>
            <w:gridSpan w:val="7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06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3113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2: </w:t>
            </w:r>
            <w:r>
              <w:rPr>
                <w:sz w:val="20"/>
              </w:rPr>
              <w:t>участие обучающихся детских школ искусств района в конкурсах, фестивалях, выставках различного уровня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>Победители и призёры от общего количества обучающихся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19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9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5" w:type="dxa"/>
            <w:gridSpan w:val="7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06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1827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3: </w:t>
            </w:r>
            <w:r>
              <w:rPr>
                <w:sz w:val="20"/>
              </w:rPr>
              <w:t>поддержка мероприятий, направленных на развитие культуры, в т.ч: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Соисполнитель: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МУ «РУО и ДМ», МКУК «МБ ЛМР»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Участники: МБО ДО «ДШИ»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>Мероприятия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519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9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5210000000</w:t>
            </w:r>
          </w:p>
        </w:tc>
        <w:tc>
          <w:tcPr>
            <w:tcW w:w="1566" w:type="dxa"/>
            <w:gridSpan w:val="5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28,72</w:t>
            </w:r>
          </w:p>
        </w:tc>
        <w:tc>
          <w:tcPr>
            <w:tcW w:w="156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28,72</w:t>
            </w: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35,4</w:t>
            </w:r>
          </w:p>
        </w:tc>
      </w:tr>
      <w:tr>
        <w:trPr>
          <w:trHeight w:val="1134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3.1.: </w:t>
            </w:r>
            <w:r>
              <w:rPr>
                <w:sz w:val="20"/>
              </w:rPr>
              <w:t>районный фестиваль-конкурс литературы Карелии «Верный друг» им. А.К. Маркова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Соисполнитель: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МКУК «МБ ЛМР»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>Мероприятия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519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9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9,9</w:t>
            </w:r>
          </w:p>
        </w:tc>
        <w:tc>
          <w:tcPr>
            <w:tcW w:w="1566" w:type="dxa"/>
            <w:gridSpan w:val="5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9,9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13,2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13,2</w:t>
            </w:r>
          </w:p>
        </w:tc>
        <w:tc>
          <w:tcPr>
            <w:tcW w:w="109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34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3.2.: </w:t>
            </w:r>
            <w:r>
              <w:rPr>
                <w:sz w:val="20"/>
              </w:rPr>
              <w:t>районный (открытый) фестиваль творчества «Неделя музыки»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Соисполнитель: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МУ «РУО и ДМ»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Участники: МБО ДО «ДШИ»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>Мероприятия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519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9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5210000000</w:t>
            </w:r>
          </w:p>
        </w:tc>
        <w:tc>
          <w:tcPr>
            <w:tcW w:w="156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610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11,5</w:t>
            </w:r>
          </w:p>
        </w:tc>
        <w:tc>
          <w:tcPr>
            <w:tcW w:w="156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11,5</w:t>
            </w: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14,1</w:t>
            </w:r>
          </w:p>
        </w:tc>
      </w:tr>
      <w:tr>
        <w:trPr>
          <w:trHeight w:val="2542" w:hRule="atLeast"/>
          <w:cantSplit w:val="true"/>
        </w:trPr>
        <w:tc>
          <w:tcPr>
            <w:tcW w:w="132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3.3.: </w:t>
            </w:r>
            <w:r>
              <w:rPr>
                <w:sz w:val="20"/>
              </w:rPr>
              <w:t>выставка работ художников Лахденпохского муниципального района в рамках мероприятий Престольного праздника, посв.главной церкви Лахденпохья – Храму Пророка Илии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Соисполнитель: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МУ «РУО и ДМ»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Участники: МБО ДО «ДШИ»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>Мероприятия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519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9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5210000000</w:t>
            </w:r>
          </w:p>
        </w:tc>
        <w:tc>
          <w:tcPr>
            <w:tcW w:w="156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610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7,32</w:t>
            </w:r>
          </w:p>
        </w:tc>
        <w:tc>
          <w:tcPr>
            <w:tcW w:w="156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7,32</w:t>
            </w: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8,1</w:t>
            </w:r>
          </w:p>
        </w:tc>
      </w:tr>
      <w:tr>
        <w:trPr>
          <w:trHeight w:val="2542" w:hRule="atLeast"/>
          <w:cantSplit w:val="true"/>
        </w:trPr>
        <w:tc>
          <w:tcPr>
            <w:tcW w:w="132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4: </w:t>
            </w:r>
            <w:r>
              <w:rPr>
                <w:sz w:val="20"/>
              </w:rPr>
              <w:t>участие населения района в культурно-досуговых мероприятиях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Соисполнитель: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МУ «РУО и ДМ», МКУК «МБ ЛМР»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Участники: МБО ДО «ДШИ»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>Доля населения от общего количества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 xml:space="preserve">Процент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19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9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6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56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73" w:hRule="atLeast"/>
          <w:cantSplit w:val="true"/>
        </w:trPr>
        <w:tc>
          <w:tcPr>
            <w:tcW w:w="132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 xml:space="preserve">Задача 3: </w:t>
            </w:r>
            <w:r>
              <w:rPr>
                <w:sz w:val="20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lineRule="auto" w:line="276" w:before="0" w:after="200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lineRule="auto" w:line="276" w:before="0" w:after="200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lineRule="auto" w:line="276" w:before="0" w:after="200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2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lineRule="auto" w:line="276" w:before="0" w:after="200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lineRule="auto" w:line="276" w:before="0" w:after="200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26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lineRule="auto" w:line="276" w:before="0" w:after="200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lineRule="auto" w:line="276" w:before="0" w:after="200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2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lineRule="auto" w:line="276" w:before="0" w:after="200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lineRule="auto" w:line="276" w:before="0" w:after="200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519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9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lineRule="auto" w:line="276" w:before="0" w:after="200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5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lineRule="auto" w:line="276" w:before="0" w:after="200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lineRule="auto" w:line="276" w:before="0" w:after="200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5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5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3991" w:type="dxa"/>
            <w:gridSpan w:val="1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555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1: </w:t>
            </w:r>
            <w:r>
              <w:rPr>
                <w:sz w:val="20"/>
              </w:rPr>
              <w:t>оснащение материально-технической базы, в т.ч.: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Соисполнитель: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МКУК «МБ ЛМР»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Участник: МБУК «ККЦ»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 xml:space="preserve">Мероприятия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519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9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5210000000</w:t>
            </w:r>
          </w:p>
        </w:tc>
        <w:tc>
          <w:tcPr>
            <w:tcW w:w="156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119,18</w:t>
            </w:r>
          </w:p>
        </w:tc>
        <w:tc>
          <w:tcPr>
            <w:tcW w:w="156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143,08</w:t>
            </w: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154,6</w:t>
            </w:r>
          </w:p>
        </w:tc>
      </w:tr>
      <w:tr>
        <w:trPr>
          <w:trHeight w:val="585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>1.1:</w:t>
            </w:r>
            <w:r>
              <w:rPr>
                <w:sz w:val="20"/>
              </w:rPr>
              <w:t xml:space="preserve"> оснащение программным обеспечением, компьютерами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Соисполнитель: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МКУК «МБ ЛМР», МБУК «ККЦ»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519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9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7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35,5</w:t>
            </w:r>
          </w:p>
        </w:tc>
        <w:tc>
          <w:tcPr>
            <w:tcW w:w="170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41,5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09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55" w:hRule="atLeast"/>
          <w:cantSplit w:val="true"/>
        </w:trPr>
        <w:tc>
          <w:tcPr>
            <w:tcW w:w="132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610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519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9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7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0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235" w:type="dxa"/>
            <w:gridSpan w:val="6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34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1.2.: </w:t>
            </w:r>
            <w:r>
              <w:rPr>
                <w:sz w:val="20"/>
              </w:rPr>
              <w:t>приобретение экспозиционно-выставочного оборудования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МБУК «ККЦ»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610</w:t>
            </w:r>
          </w:p>
        </w:tc>
        <w:tc>
          <w:tcPr>
            <w:tcW w:w="519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9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7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38,2</w:t>
            </w:r>
          </w:p>
        </w:tc>
        <w:tc>
          <w:tcPr>
            <w:tcW w:w="170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55,9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56,8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87,4</w:t>
            </w:r>
          </w:p>
        </w:tc>
        <w:tc>
          <w:tcPr>
            <w:tcW w:w="109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34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1.3.: </w:t>
            </w:r>
            <w:r>
              <w:rPr>
                <w:sz w:val="20"/>
              </w:rPr>
              <w:t>текущий ремонт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Соисполнитель: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МКУК «МБ ЛМР»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519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9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7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45,48</w:t>
            </w:r>
          </w:p>
        </w:tc>
        <w:tc>
          <w:tcPr>
            <w:tcW w:w="170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17,68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55,8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20,2</w:t>
            </w:r>
          </w:p>
        </w:tc>
        <w:tc>
          <w:tcPr>
            <w:tcW w:w="109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34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Подпрограмма 2: </w:t>
            </w:r>
            <w:r>
              <w:rPr>
                <w:sz w:val="20"/>
              </w:rPr>
              <w:t>«Комплексные мероприятия в области работы с молодёжью»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АЛМР (ОСР)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8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519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9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56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228,8</w:t>
            </w:r>
          </w:p>
        </w:tc>
        <w:tc>
          <w:tcPr>
            <w:tcW w:w="156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242</w:t>
            </w: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256</w:t>
            </w:r>
          </w:p>
        </w:tc>
      </w:tr>
      <w:tr>
        <w:trPr>
          <w:trHeight w:val="453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 xml:space="preserve">Задача 1: </w:t>
            </w:r>
            <w:r>
              <w:rPr>
                <w:sz w:val="20"/>
              </w:rPr>
              <w:t>создание условий для успешной социализации и эффективной самореализации молодёжи Лахденпохского муниципального района. Развитие потенциала молодёжи в интересах социально-экономического развития района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752" w:type="dxa"/>
            <w:gridSpan w:val="1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9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27" w:type="dxa"/>
            <w:gridSpan w:val="2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10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1: </w:t>
            </w:r>
            <w:r>
              <w:rPr>
                <w:sz w:val="20"/>
              </w:rPr>
              <w:t xml:space="preserve">организация и проведение </w:t>
            </w:r>
            <w:r>
              <w:rPr>
                <w:sz w:val="20"/>
                <w:highlight w:val="white"/>
              </w:rPr>
              <w:t>мероприятий, направленных на укрепление социального статуса семьи, семейных </w:t>
            </w:r>
          </w:p>
          <w:p>
            <w:pPr>
              <w:pStyle w:val="Normal"/>
              <w:jc w:val="both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ценностей и традиций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АЛМР (ОСР)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 xml:space="preserve">Мероприятия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0707</w:t>
            </w:r>
          </w:p>
        </w:tc>
        <w:tc>
          <w:tcPr>
            <w:tcW w:w="519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9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5220000000</w:t>
            </w:r>
          </w:p>
        </w:tc>
        <w:tc>
          <w:tcPr>
            <w:tcW w:w="1566" w:type="dxa"/>
            <w:gridSpan w:val="5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25</w:t>
            </w:r>
          </w:p>
        </w:tc>
        <w:tc>
          <w:tcPr>
            <w:tcW w:w="156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26</w:t>
            </w: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28</w:t>
            </w:r>
          </w:p>
        </w:tc>
      </w:tr>
      <w:tr>
        <w:trPr>
          <w:trHeight w:val="1515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2: </w:t>
            </w:r>
            <w:r>
              <w:rPr>
                <w:sz w:val="20"/>
              </w:rPr>
              <w:t>Развитие молодежного консультативно-совещательного органа в т.ч.: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Мероприятия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Количество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3459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519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9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1566" w:type="dxa"/>
            <w:gridSpan w:val="5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109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34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1.1.организация работы Совета молодежи при Совете Лахденпохского муниципального района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both"/>
              <w:rPr>
                <w:sz w:val="20"/>
              </w:rPr>
            </w:pPr>
            <w:r>
              <w:rPr>
                <w:sz w:val="20"/>
              </w:rPr>
              <w:t>Заседания Совета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>Количество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459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519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9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566" w:type="dxa"/>
            <w:gridSpan w:val="5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9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34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1.2. участие членов Совета Молодежи в работе Республиканского молодежного Парламента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>Выезда членов Совета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459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519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9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7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70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09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80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3: </w:t>
            </w:r>
            <w:r>
              <w:rPr>
                <w:sz w:val="20"/>
              </w:rPr>
              <w:t>направленных на формирование трудовых навыков, поддержку молодых специалистов и молодых граждан, достигших особых успехов в трудовой, творческой, социальной деятельности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МБО ДО «ЦДТ»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МУ «РУО и ДМ»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АЛМР (ОСР)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327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Мероприятия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Количество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ind w:left="113" w:right="113" w:hanging="0"/>
              <w:jc w:val="center"/>
              <w:rPr/>
            </w:pPr>
            <w:r>
              <w:rPr/>
            </w:r>
          </w:p>
        </w:tc>
        <w:tc>
          <w:tcPr>
            <w:tcW w:w="519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87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46</w:t>
            </w:r>
          </w:p>
        </w:tc>
        <w:tc>
          <w:tcPr>
            <w:tcW w:w="165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48</w:t>
            </w:r>
          </w:p>
        </w:tc>
        <w:tc>
          <w:tcPr>
            <w:tcW w:w="1188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52</w:t>
            </w:r>
          </w:p>
        </w:tc>
        <w:tc>
          <w:tcPr>
            <w:tcW w:w="1666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285" w:hRule="atLeast"/>
          <w:cantSplit w:val="true"/>
        </w:trPr>
        <w:tc>
          <w:tcPr>
            <w:tcW w:w="132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2653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519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87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46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32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188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803" w:type="dxa"/>
            <w:gridSpan w:val="8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34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4: </w:t>
            </w:r>
            <w:r>
              <w:rPr>
                <w:sz w:val="20"/>
              </w:rPr>
              <w:t xml:space="preserve">организация и проведение мероприятий, направленных на разностороннее развитие молодых людей, физическое развитие, поддержку инициативы и творчества молодёжи, формирование здорового образа жизни, социализацию молодых граждан с ограниченными возможностями здоровья, в т.ч. 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Мероприятия</w:t>
            </w: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Количество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519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87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72</w:t>
            </w:r>
          </w:p>
        </w:tc>
        <w:tc>
          <w:tcPr>
            <w:tcW w:w="146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77</w:t>
            </w:r>
          </w:p>
        </w:tc>
        <w:tc>
          <w:tcPr>
            <w:tcW w:w="132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81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88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86</w:t>
            </w:r>
          </w:p>
        </w:tc>
        <w:tc>
          <w:tcPr>
            <w:tcW w:w="2803" w:type="dxa"/>
            <w:gridSpan w:val="8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34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4.1.: </w:t>
            </w:r>
            <w:r>
              <w:rPr>
                <w:sz w:val="20"/>
              </w:rPr>
              <w:t>поддержка общественных инициатив, создающих благоприятные условия для формирования у молодых граждан идеалов нравственности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51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87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46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32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188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803" w:type="dxa"/>
            <w:gridSpan w:val="8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34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4.2: </w:t>
            </w:r>
            <w:r>
              <w:rPr>
                <w:sz w:val="20"/>
              </w:rPr>
              <w:t>участие молодежи в региональных, республиканских, всероссийских, международных проектах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51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87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46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32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188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803" w:type="dxa"/>
            <w:gridSpan w:val="8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34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4.3:  </w:t>
            </w:r>
            <w:r>
              <w:rPr>
                <w:sz w:val="20"/>
              </w:rPr>
              <w:t>мероприятия в сфере молодежного туризма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51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87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46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32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188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803" w:type="dxa"/>
            <w:gridSpan w:val="8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34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4.4.: </w:t>
            </w:r>
            <w:r>
              <w:rPr>
                <w:sz w:val="20"/>
              </w:rPr>
              <w:t>мероприятия,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направленные на повышение уровня знаний молодежи, развития творческой инициативы, формирования ЗОЖ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8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705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38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232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34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4.5.: </w:t>
            </w:r>
            <w:r>
              <w:rPr>
                <w:sz w:val="20"/>
              </w:rPr>
              <w:t>организация и проведение празднований, посвященных Дню молодежи.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8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705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138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2232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34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4.6.: </w:t>
            </w:r>
            <w:r>
              <w:rPr>
                <w:sz w:val="20"/>
              </w:rPr>
              <w:t>проведение мероприятий для молодых граждан с ограниченными возможностями здоровья в декаду, посвященную Дню инвалида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8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705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-108" w:right="0" w:hanging="0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138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232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89" w:hRule="atLeast"/>
          <w:cantSplit w:val="true"/>
        </w:trPr>
        <w:tc>
          <w:tcPr>
            <w:tcW w:w="27870" w:type="dxa"/>
            <w:gridSpan w:val="4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Задача 2: создание условий для совершенствования системы патриотического воспитания</w:t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и допризывной подготовки молодёжи, направленной на духовно-нравственное воспитание личности</w:t>
            </w:r>
          </w:p>
        </w:tc>
      </w:tr>
      <w:tr>
        <w:trPr>
          <w:trHeight w:val="1134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1: </w:t>
            </w:r>
            <w:r>
              <w:rPr>
                <w:sz w:val="20"/>
              </w:rPr>
              <w:t>организация и проведение мероприятий патриотической и духовно-нравственной направленности, в т.ч.: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АЛМР (ОСР)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Мероприятия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Количество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0707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5220000000</w:t>
            </w:r>
          </w:p>
        </w:tc>
        <w:tc>
          <w:tcPr>
            <w:tcW w:w="1327" w:type="dxa"/>
            <w:gridSpan w:val="7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32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75,8</w:t>
            </w:r>
          </w:p>
        </w:tc>
        <w:tc>
          <w:tcPr>
            <w:tcW w:w="1327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81</w:t>
            </w:r>
          </w:p>
        </w:tc>
        <w:tc>
          <w:tcPr>
            <w:tcW w:w="132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85</w:t>
            </w:r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90,2</w:t>
            </w:r>
          </w:p>
        </w:tc>
      </w:tr>
      <w:tr>
        <w:trPr>
          <w:trHeight w:val="1134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1.1.: </w:t>
            </w:r>
            <w:r>
              <w:rPr>
                <w:sz w:val="20"/>
              </w:rPr>
              <w:t>организация и проведение школьных балов среди обучающихся образовательных организаций ЛМР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Соисполнитель: МУ «РУО и ДМ»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Мероприятия</w:t>
            </w:r>
          </w:p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Мероприятия</w:t>
            </w:r>
          </w:p>
          <w:p>
            <w:pPr>
              <w:pStyle w:val="Normal"/>
              <w:ind w:left="113" w:right="113" w:hanging="0"/>
              <w:jc w:val="center"/>
              <w:rPr/>
            </w:pPr>
            <w:r>
              <w:rPr/>
            </w:r>
          </w:p>
        </w:tc>
        <w:tc>
          <w:tcPr>
            <w:tcW w:w="1326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Количество</w:t>
            </w:r>
          </w:p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Количество</w:t>
            </w:r>
          </w:p>
          <w:p>
            <w:pPr>
              <w:pStyle w:val="Normal"/>
              <w:ind w:left="113" w:right="113" w:hanging="0"/>
              <w:jc w:val="center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701" w:type="dxa"/>
            <w:gridSpan w:val="6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277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377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32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337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34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1.2.: </w:t>
            </w:r>
            <w:r>
              <w:rPr>
                <w:sz w:val="20"/>
              </w:rPr>
              <w:t>проведение районной военно-спортивной игры «Победа»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6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01" w:type="dxa"/>
            <w:gridSpan w:val="6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7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56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2664" w:type="dxa"/>
            <w:gridSpan w:val="7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34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1.3.:  </w:t>
            </w:r>
            <w:r>
              <w:rPr>
                <w:sz w:val="20"/>
              </w:rPr>
              <w:t>участие команды Лахденпохского муниципального района в республиканском этапе военно-спортивной игры «Победа», посвященной Победе в Великой Отечественной войне.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6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01" w:type="dxa"/>
            <w:gridSpan w:val="6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7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16,8</w:t>
            </w:r>
          </w:p>
        </w:tc>
        <w:tc>
          <w:tcPr>
            <w:tcW w:w="156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19,2</w:t>
            </w:r>
          </w:p>
        </w:tc>
        <w:tc>
          <w:tcPr>
            <w:tcW w:w="2664" w:type="dxa"/>
            <w:gridSpan w:val="7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34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1.4.: </w:t>
            </w:r>
            <w:r>
              <w:rPr>
                <w:sz w:val="20"/>
              </w:rPr>
              <w:t>организация и проведение мероприятий для молодёжи, посвящённые памятным и праздничным дням</w:t>
            </w: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АЛМР (ОСР)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Проект 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701" w:type="dxa"/>
            <w:gridSpan w:val="6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277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377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32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337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34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1.5.: </w:t>
            </w:r>
            <w:r>
              <w:rPr>
                <w:sz w:val="20"/>
              </w:rPr>
              <w:t>организация и проведение торжественных проводов в армию призывников ЛМР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Мероприятия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Количество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701" w:type="dxa"/>
            <w:gridSpan w:val="6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7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377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32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337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34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Подпрограмма 3: «Содействие занятости несовершеннолетних граждан»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АЛМР (ОСР)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Соисполнитель: МУ «РУО и ДМ»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2701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277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32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210</w:t>
            </w:r>
          </w:p>
        </w:tc>
        <w:tc>
          <w:tcPr>
            <w:tcW w:w="1377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230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250</w:t>
            </w:r>
          </w:p>
        </w:tc>
        <w:tc>
          <w:tcPr>
            <w:tcW w:w="132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300</w:t>
            </w:r>
          </w:p>
        </w:tc>
        <w:tc>
          <w:tcPr>
            <w:tcW w:w="1337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4" w:hRule="atLeast"/>
          <w:cantSplit w:val="true"/>
        </w:trPr>
        <w:tc>
          <w:tcPr>
            <w:tcW w:w="27870" w:type="dxa"/>
            <w:gridSpan w:val="4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Задача 1:  Организация профессиональной ориентации несовершеннолетних граждан</w:t>
            </w:r>
          </w:p>
        </w:tc>
      </w:tr>
      <w:tr>
        <w:trPr>
          <w:trHeight w:val="1785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Мероприятие 1: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Информирование несовершеннолетних граждан о реализации МП через средства массовой информации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АЛМР (ОСР)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Публикации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ind w:left="0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gridSpan w:val="7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32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327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32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2194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2: </w:t>
            </w:r>
            <w:r>
              <w:rPr>
                <w:sz w:val="20"/>
              </w:rPr>
              <w:t xml:space="preserve">Проведение ярмарок вакансий по организации временного трудоустройства несовершеннолетних граждан в возрасте от 14 до 18 лет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Участник: ГКУ РК «ЦЗН»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Ярмарки 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32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327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32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</w:tr>
      <w:tr>
        <w:trPr>
          <w:trHeight w:val="2887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Мероприятие 3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Заключение трехсторонних договоров по организации временного трудоустройства несовершеннолетних граждан с предприятиями, организациями, учреждениями района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Исполнитель: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АЛМР (ОСР)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Участник: ГКУ РК «ЦЗН»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Количество заключенных трехсторонних договоров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Ед.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18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19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25</w:t>
            </w:r>
          </w:p>
        </w:tc>
        <w:tc>
          <w:tcPr>
            <w:tcW w:w="2651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327" w:type="dxa"/>
            <w:gridSpan w:val="7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377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32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337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67" w:hRule="atLeast"/>
          <w:cantSplit w:val="true"/>
        </w:trPr>
        <w:tc>
          <w:tcPr>
            <w:tcW w:w="27870" w:type="dxa"/>
            <w:gridSpan w:val="4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Задача 2: Организация временной занятости и трудоустройства несовершеннолетних граждан в возрасте от 14 до 18 лет</w:t>
            </w:r>
          </w:p>
        </w:tc>
      </w:tr>
      <w:tr>
        <w:trPr>
          <w:trHeight w:val="2560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Мероприятие 1: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Формирование реестра предприятий и организаций, предоставляющих рабочие места для временного трудоустройства несовершеннолетних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Исполнитель: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АЛМР (ОСР)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Участник: ГКУ РК «ЦЗН»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Актуализация реестра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Кол-во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gridSpan w:val="7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32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327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32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</w:tr>
      <w:tr>
        <w:trPr>
          <w:trHeight w:val="1819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Мероприятие 2: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финансирование временного трудоустройства несовершеннолетних на основании трехстороннего договора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Исполнитель: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АЛМР (ОСР)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Участник: ГКУ РК «ЦЗН»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Кол-во  трудоустроенных несовершеннолетних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Чел.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18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19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25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0401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5230000000</w:t>
            </w:r>
          </w:p>
        </w:tc>
        <w:tc>
          <w:tcPr>
            <w:tcW w:w="1327" w:type="dxa"/>
            <w:gridSpan w:val="7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110,610</w:t>
            </w:r>
          </w:p>
        </w:tc>
        <w:tc>
          <w:tcPr>
            <w:tcW w:w="132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32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210</w:t>
            </w:r>
          </w:p>
        </w:tc>
        <w:tc>
          <w:tcPr>
            <w:tcW w:w="1327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230</w:t>
            </w:r>
          </w:p>
        </w:tc>
        <w:tc>
          <w:tcPr>
            <w:tcW w:w="132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250</w:t>
            </w:r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300</w:t>
            </w:r>
          </w:p>
        </w:tc>
      </w:tr>
      <w:tr>
        <w:trPr>
          <w:trHeight w:val="682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Итого по муниципальной программе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gridSpan w:val="7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32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5504,788</w:t>
            </w:r>
          </w:p>
        </w:tc>
        <w:tc>
          <w:tcPr>
            <w:tcW w:w="1327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5491,283</w:t>
            </w:r>
          </w:p>
        </w:tc>
        <w:tc>
          <w:tcPr>
            <w:tcW w:w="132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5610,526</w:t>
            </w:r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5688,485</w:t>
            </w:r>
          </w:p>
        </w:tc>
      </w:tr>
      <w:tr>
        <w:trPr>
          <w:trHeight w:val="396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Отв.исполнитель: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АЛМР (ОСР)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gridSpan w:val="7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  <w:t>162,788</w:t>
            </w:r>
          </w:p>
        </w:tc>
        <w:tc>
          <w:tcPr>
            <w:tcW w:w="1327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  <w:t>170,483</w:t>
            </w:r>
          </w:p>
        </w:tc>
        <w:tc>
          <w:tcPr>
            <w:tcW w:w="132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  <w:t>182,326</w:t>
            </w:r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  <w:t>191,485</w:t>
            </w:r>
          </w:p>
        </w:tc>
      </w:tr>
      <w:tr>
        <w:trPr>
          <w:trHeight w:val="300" w:hRule="atLeast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Соисполнитель: 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МКУК «МБЛМР»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gridSpan w:val="7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  <w:t>3058,18</w:t>
            </w:r>
          </w:p>
        </w:tc>
        <w:tc>
          <w:tcPr>
            <w:tcW w:w="1327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  <w:t>2961,98</w:t>
            </w:r>
          </w:p>
        </w:tc>
        <w:tc>
          <w:tcPr>
            <w:tcW w:w="132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  <w:t>3076,2</w:t>
            </w:r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  <w:t>3059,2</w:t>
            </w:r>
          </w:p>
        </w:tc>
      </w:tr>
      <w:tr>
        <w:trPr>
          <w:trHeight w:val="300" w:hRule="atLeast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Участник: 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МБУК «ККЦ»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gridSpan w:val="7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1986,2</w:t>
            </w:r>
          </w:p>
        </w:tc>
        <w:tc>
          <w:tcPr>
            <w:tcW w:w="1327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2037,0</w:t>
            </w:r>
          </w:p>
        </w:tc>
        <w:tc>
          <w:tcPr>
            <w:tcW w:w="132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2004,8</w:t>
            </w:r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2035,4</w:t>
            </w:r>
          </w:p>
        </w:tc>
      </w:tr>
      <w:tr>
        <w:trPr>
          <w:trHeight w:val="300" w:hRule="atLeast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Соисполнитель: МУ «РУО и ДМ»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gridSpan w:val="7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266,8</w:t>
            </w:r>
          </w:p>
        </w:tc>
        <w:tc>
          <w:tcPr>
            <w:tcW w:w="1327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290</w:t>
            </w:r>
          </w:p>
        </w:tc>
        <w:tc>
          <w:tcPr>
            <w:tcW w:w="132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312</w:t>
            </w:r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366,2</w:t>
            </w:r>
          </w:p>
        </w:tc>
      </w:tr>
      <w:tr>
        <w:trPr>
          <w:trHeight w:val="300" w:hRule="atLeast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Участник: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МБО ДО «ДШИ»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gridSpan w:val="7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18,82</w:t>
            </w:r>
          </w:p>
        </w:tc>
        <w:tc>
          <w:tcPr>
            <w:tcW w:w="1327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18,82</w:t>
            </w:r>
          </w:p>
        </w:tc>
        <w:tc>
          <w:tcPr>
            <w:tcW w:w="132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22,2</w:t>
            </w:r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22,2</w:t>
            </w:r>
          </w:p>
        </w:tc>
      </w:tr>
      <w:tr>
        <w:trPr>
          <w:trHeight w:val="300" w:hRule="atLeast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Участник: МБО ДО «ЛЦДТ»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gridSpan w:val="7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327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32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</w:tbl>
    <w:p>
      <w:pPr>
        <w:pStyle w:val="Normal"/>
        <w:rPr>
          <w:sz w:val="20"/>
        </w:rPr>
      </w:pPr>
      <w:r>
        <w:rPr>
          <w:sz w:val="20"/>
        </w:rPr>
      </w:r>
    </w:p>
    <w:p>
      <w:pPr>
        <w:pStyle w:val="Normal"/>
        <w:rPr>
          <w:sz w:val="20"/>
        </w:rPr>
      </w:pPr>
      <w:r>
        <w:rPr>
          <w:sz w:val="20"/>
        </w:rPr>
      </w:r>
    </w:p>
    <w:p>
      <w:pPr>
        <w:pStyle w:val="Normal"/>
        <w:rPr>
          <w:sz w:val="20"/>
        </w:rPr>
      </w:pPr>
      <w:r>
        <w:rPr>
          <w:sz w:val="20"/>
        </w:rPr>
      </w:r>
    </w:p>
    <w:p>
      <w:pPr>
        <w:pStyle w:val="Normal"/>
        <w:rPr>
          <w:sz w:val="20"/>
        </w:rPr>
      </w:pPr>
      <w:r>
        <w:rPr>
          <w:sz w:val="20"/>
        </w:rPr>
      </w:r>
    </w:p>
    <w:p>
      <w:pPr>
        <w:pStyle w:val="Normal"/>
        <w:rPr>
          <w:sz w:val="20"/>
        </w:rPr>
      </w:pPr>
      <w:r>
        <w:rPr>
          <w:sz w:val="20"/>
        </w:rPr>
      </w:r>
    </w:p>
    <w:p>
      <w:pPr>
        <w:pStyle w:val="Normal"/>
        <w:rPr>
          <w:sz w:val="20"/>
        </w:rPr>
      </w:pPr>
      <w:r>
        <w:rPr>
          <w:sz w:val="20"/>
        </w:rPr>
      </w:r>
    </w:p>
    <w:p>
      <w:pPr>
        <w:pStyle w:val="Normal"/>
        <w:rPr>
          <w:sz w:val="20"/>
        </w:rPr>
      </w:pPr>
      <w:r>
        <w:rPr>
          <w:sz w:val="20"/>
        </w:rPr>
      </w:r>
    </w:p>
    <w:p>
      <w:pPr>
        <w:pStyle w:val="Normal"/>
        <w:jc w:val="center"/>
        <w:rPr>
          <w:sz w:val="20"/>
        </w:rPr>
      </w:pPr>
      <w:r>
        <w:rPr>
          <w:sz w:val="20"/>
        </w:rPr>
        <w:t>Обоснования по Подпрограмме 1</w:t>
      </w:r>
    </w:p>
    <w:p>
      <w:pPr>
        <w:pStyle w:val="Normal"/>
        <w:numPr>
          <w:ilvl w:val="0"/>
          <w:numId w:val="8"/>
        </w:numPr>
        <w:ind w:left="720" w:right="0" w:hanging="360"/>
        <w:jc w:val="center"/>
        <w:rPr>
          <w:sz w:val="20"/>
        </w:rPr>
      </w:pPr>
      <w:r>
        <w:rPr>
          <w:sz w:val="20"/>
        </w:rPr>
        <w:t>Выполнение в структурных подразделениях МКУК «МБ ЛМР» текущего ремонта 138,76 тыс.рублей из них: Примерная смета на ремонт в пос. Куркиёки (площадь 100 кв.м) по ценам 2016 года</w:t>
      </w:r>
    </w:p>
    <w:p>
      <w:pPr>
        <w:pStyle w:val="Normal"/>
        <w:jc w:val="both"/>
        <w:rPr>
          <w:b/>
          <w:b/>
          <w:sz w:val="20"/>
        </w:rPr>
      </w:pPr>
      <w:r>
        <w:rPr>
          <w:b/>
          <w:sz w:val="20"/>
        </w:rPr>
        <w:t>2018 год</w:t>
      </w:r>
    </w:p>
    <w:tbl>
      <w:tblPr>
        <w:tblW w:w="9995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527"/>
        <w:gridCol w:w="4795"/>
        <w:gridCol w:w="976"/>
        <w:gridCol w:w="981"/>
        <w:gridCol w:w="1084"/>
        <w:gridCol w:w="5"/>
        <w:gridCol w:w="1626"/>
      </w:tblGrid>
      <w:tr>
        <w:trPr>
          <w:trHeight w:val="581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пп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            </w:t>
            </w:r>
            <w:r>
              <w:rPr>
                <w:sz w:val="20"/>
              </w:rPr>
              <w:t>Наименование материалов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Ед. изм.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 w:before="0" w:after="200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Цена 1 шт., тыс.руб.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 w:before="0" w:after="200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Итог, тыс.руб.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Краска на окна (Фазенда 0,9 кг)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Бан.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0,13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0,39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Краска на двери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Бан.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0,13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0,39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Краска на стены интерьерная (текс) S – 350 кв.м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Бан.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Краска на потолок (текс) S – 120 кв.м.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Бан.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0,75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Грунтовка (акриловая)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Бан.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0,27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1,35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Кабель НЮМ 2*1,5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м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3 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Кабель НЮМ 2*1,5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м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0,6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6 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Скобки для крепления кабеля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0,04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0,8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Наждачная бумага для шлифования стен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м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0,06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0,12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Валик малярный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Ванночка для разведение краски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0,07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0,14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Кисть 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0,06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0,24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Розетка 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Выключатель 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0,8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Пилот 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Кабель – канал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0,8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17 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Линолеум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кв.м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0,8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Плинтуса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кв.м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>
        <w:trPr>
          <w:trHeight w:val="345" w:hRule="atLeast"/>
        </w:trPr>
        <w:tc>
          <w:tcPr>
            <w:tcW w:w="83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               </w:t>
            </w:r>
            <w:r>
              <w:rPr>
                <w:sz w:val="20"/>
              </w:rPr>
              <w:t>Итого:</w:t>
            </w:r>
          </w:p>
        </w:tc>
        <w:tc>
          <w:tcPr>
            <w:tcW w:w="1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45,48</w:t>
            </w:r>
          </w:p>
        </w:tc>
      </w:tr>
    </w:tbl>
    <w:p>
      <w:pPr>
        <w:pStyle w:val="Normal"/>
        <w:jc w:val="center"/>
        <w:rPr>
          <w:sz w:val="20"/>
        </w:rPr>
      </w:pPr>
      <w:r>
        <w:rPr>
          <w:sz w:val="20"/>
        </w:rPr>
      </w:r>
    </w:p>
    <w:p>
      <w:pPr>
        <w:pStyle w:val="Normal"/>
        <w:jc w:val="center"/>
        <w:rPr>
          <w:sz w:val="20"/>
        </w:rPr>
      </w:pPr>
      <w:r>
        <w:rPr>
          <w:sz w:val="20"/>
        </w:rPr>
        <w:t>Примерная смета на ремонт в пос. Лассанен (площадь 74,7 кв.м) по ценам 2017 года</w:t>
      </w:r>
    </w:p>
    <w:p>
      <w:pPr>
        <w:pStyle w:val="Normal"/>
        <w:jc w:val="both"/>
        <w:rPr>
          <w:b/>
          <w:b/>
          <w:sz w:val="20"/>
        </w:rPr>
      </w:pPr>
      <w:r>
        <w:rPr>
          <w:b/>
          <w:sz w:val="20"/>
        </w:rPr>
        <w:t>2019 год</w:t>
      </w:r>
    </w:p>
    <w:tbl>
      <w:tblPr>
        <w:tblW w:w="9995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531"/>
        <w:gridCol w:w="4932"/>
        <w:gridCol w:w="992"/>
        <w:gridCol w:w="994"/>
        <w:gridCol w:w="1126"/>
        <w:gridCol w:w="5"/>
        <w:gridCol w:w="1414"/>
      </w:tblGrid>
      <w:tr>
        <w:trPr>
          <w:trHeight w:val="345" w:hRule="atLeast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пп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            </w:t>
            </w:r>
            <w:r>
              <w:rPr>
                <w:sz w:val="20"/>
              </w:rPr>
              <w:t>Наименование материалов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Ед. изм.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Цена (руб.)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 w:before="0" w:after="200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Итог, тыс.руб.</w:t>
            </w:r>
          </w:p>
        </w:tc>
      </w:tr>
      <w:tr>
        <w:trPr>
          <w:trHeight w:val="345" w:hRule="atLeast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Краска на окна (Фазенда 0,9 кг)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Бан.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0,19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0,38</w:t>
            </w:r>
          </w:p>
        </w:tc>
      </w:tr>
      <w:tr>
        <w:trPr>
          <w:trHeight w:val="345" w:hRule="atLeast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Краска на двери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Бан.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0,19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0,38</w:t>
            </w:r>
          </w:p>
        </w:tc>
      </w:tr>
      <w:tr>
        <w:trPr>
          <w:trHeight w:val="345" w:hRule="atLeast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Грунтовка (акриловая)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Бан.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0,27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0,81</w:t>
            </w:r>
          </w:p>
        </w:tc>
      </w:tr>
      <w:tr>
        <w:trPr>
          <w:trHeight w:val="345" w:hRule="atLeast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Водоэмульсионная белая краска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кг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0,8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1,6</w:t>
            </w:r>
          </w:p>
        </w:tc>
      </w:tr>
      <w:tr>
        <w:trPr>
          <w:trHeight w:val="345" w:hRule="atLeast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Колер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0,41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0,41</w:t>
            </w:r>
          </w:p>
        </w:tc>
      </w:tr>
      <w:tr>
        <w:trPr>
          <w:trHeight w:val="345" w:hRule="atLeast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Наждачная бумага для шлифования стен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0,06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0,12</w:t>
            </w:r>
          </w:p>
        </w:tc>
      </w:tr>
      <w:tr>
        <w:trPr>
          <w:trHeight w:val="345" w:hRule="atLeast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Валик малярный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</w:tr>
      <w:tr>
        <w:trPr>
          <w:trHeight w:val="345" w:hRule="atLeast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Ванночка для разведение краски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0,07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0,14</w:t>
            </w:r>
          </w:p>
        </w:tc>
      </w:tr>
      <w:tr>
        <w:trPr>
          <w:trHeight w:val="345" w:hRule="atLeast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Кисть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0,06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0,24</w:t>
            </w:r>
          </w:p>
        </w:tc>
      </w:tr>
      <w:tr>
        <w:trPr>
          <w:trHeight w:val="345" w:hRule="atLeast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Линолеум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кв.м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0,8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>
        <w:trPr>
          <w:trHeight w:val="345" w:hRule="atLeast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Плинтуса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кв.м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1,4</w:t>
            </w:r>
          </w:p>
        </w:tc>
      </w:tr>
      <w:tr>
        <w:trPr>
          <w:trHeight w:val="345" w:hRule="atLeast"/>
        </w:trPr>
        <w:tc>
          <w:tcPr>
            <w:tcW w:w="85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                     </w:t>
            </w:r>
            <w:r>
              <w:rPr>
                <w:sz w:val="20"/>
              </w:rPr>
              <w:t>Итого: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17,68</w:t>
            </w:r>
          </w:p>
        </w:tc>
      </w:tr>
    </w:tbl>
    <w:p>
      <w:pPr>
        <w:pStyle w:val="Normal"/>
        <w:jc w:val="both"/>
        <w:rPr>
          <w:sz w:val="20"/>
        </w:rPr>
      </w:pPr>
      <w:r>
        <w:rPr>
          <w:sz w:val="20"/>
        </w:rPr>
      </w:r>
    </w:p>
    <w:p>
      <w:pPr>
        <w:pStyle w:val="Normal"/>
        <w:jc w:val="both"/>
        <w:rPr>
          <w:sz w:val="20"/>
        </w:rPr>
      </w:pPr>
      <w:r>
        <w:rPr>
          <w:sz w:val="20"/>
        </w:rPr>
      </w:r>
    </w:p>
    <w:p>
      <w:pPr>
        <w:pStyle w:val="Normal"/>
        <w:jc w:val="both"/>
        <w:rPr>
          <w:sz w:val="20"/>
        </w:rPr>
      </w:pPr>
      <w:r>
        <w:rPr>
          <w:sz w:val="20"/>
        </w:rPr>
      </w:r>
    </w:p>
    <w:p>
      <w:pPr>
        <w:pStyle w:val="Normal"/>
        <w:jc w:val="center"/>
        <w:rPr/>
      </w:pPr>
      <w:r>
        <w:rPr>
          <w:sz w:val="20"/>
        </w:rPr>
        <w:t xml:space="preserve">Примерная смета на ремонт в пос. Хийтола (площадь 120 кв.м) </w:t>
      </w:r>
      <w:r>
        <w:rPr>
          <w:b/>
          <w:sz w:val="20"/>
        </w:rPr>
        <w:t>2020 год</w:t>
      </w:r>
    </w:p>
    <w:tbl>
      <w:tblPr>
        <w:tblW w:w="9995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527"/>
        <w:gridCol w:w="4795"/>
        <w:gridCol w:w="976"/>
        <w:gridCol w:w="981"/>
        <w:gridCol w:w="1084"/>
        <w:gridCol w:w="5"/>
        <w:gridCol w:w="1626"/>
      </w:tblGrid>
      <w:tr>
        <w:trPr>
          <w:trHeight w:val="683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пп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            </w:t>
            </w:r>
            <w:r>
              <w:rPr>
                <w:sz w:val="20"/>
              </w:rPr>
              <w:t>Наименование материалов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Ед. изм.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 w:before="0" w:after="200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Цена 1 шт., тыс.руб.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 w:before="0" w:after="200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Итог, тыс.руб.</w:t>
            </w:r>
          </w:p>
        </w:tc>
      </w:tr>
      <w:tr>
        <w:trPr>
          <w:trHeight w:val="143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Краска на окна (Фазенда 0,9 кг)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Бан.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0,8</w:t>
            </w:r>
          </w:p>
        </w:tc>
      </w:tr>
      <w:tr>
        <w:trPr>
          <w:trHeight w:val="188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Краска на двери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Бан.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0,8</w:t>
            </w:r>
          </w:p>
        </w:tc>
      </w:tr>
      <w:tr>
        <w:trPr>
          <w:trHeight w:val="79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Краска на стены интерьерная (текс) S - 550 кв.м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Бан.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0,25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>
        <w:trPr>
          <w:trHeight w:val="12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Краска на потолок (текс) S – 120 кв.м.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Бан.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1,4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Грунтовка (акриловая)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Бан.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2,1</w:t>
            </w:r>
          </w:p>
        </w:tc>
      </w:tr>
      <w:tr>
        <w:trPr>
          <w:trHeight w:val="247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Кабель НЮМ 2*1,5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м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4,8 </w:t>
            </w:r>
          </w:p>
        </w:tc>
      </w:tr>
      <w:tr>
        <w:trPr>
          <w:trHeight w:val="137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Кабель НЮМ 2*1,5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м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0,6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7,2 </w:t>
            </w:r>
          </w:p>
        </w:tc>
      </w:tr>
      <w:tr>
        <w:trPr>
          <w:trHeight w:val="183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Скобки для крепления кабеля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>
        <w:trPr>
          <w:trHeight w:val="229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Наждачная бумага для шлифования стен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м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Валик малярный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Ванночка для разведение краски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Кисть 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Розетка 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0,25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2 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Выключатель 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0,25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Пилот 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Кабель - канал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Линолеум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кв.м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0,8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Плинтуса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кв.м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>
        <w:trPr>
          <w:trHeight w:val="345" w:hRule="atLeast"/>
        </w:trPr>
        <w:tc>
          <w:tcPr>
            <w:tcW w:w="83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               </w:t>
            </w:r>
            <w:r>
              <w:rPr>
                <w:sz w:val="20"/>
              </w:rPr>
              <w:t>Итого:</w:t>
            </w:r>
          </w:p>
        </w:tc>
        <w:tc>
          <w:tcPr>
            <w:tcW w:w="1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55,8</w:t>
            </w:r>
          </w:p>
        </w:tc>
      </w:tr>
    </w:tbl>
    <w:p>
      <w:pPr>
        <w:pStyle w:val="Normal"/>
        <w:jc w:val="center"/>
        <w:rPr/>
      </w:pPr>
      <w:r>
        <w:rPr>
          <w:sz w:val="20"/>
        </w:rPr>
        <w:t xml:space="preserve">Примерная смета на ремонт в пос. Эстерло (площадь 25 кв.м) </w:t>
      </w:r>
      <w:r>
        <w:rPr>
          <w:b/>
          <w:sz w:val="20"/>
        </w:rPr>
        <w:t>2021 год</w:t>
      </w:r>
    </w:p>
    <w:tbl>
      <w:tblPr>
        <w:tblW w:w="9995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527"/>
        <w:gridCol w:w="4795"/>
        <w:gridCol w:w="976"/>
        <w:gridCol w:w="981"/>
        <w:gridCol w:w="1084"/>
        <w:gridCol w:w="5"/>
        <w:gridCol w:w="1626"/>
      </w:tblGrid>
      <w:tr>
        <w:trPr>
          <w:trHeight w:val="581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пп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            </w:t>
            </w:r>
            <w:r>
              <w:rPr>
                <w:sz w:val="20"/>
              </w:rPr>
              <w:t>Наименование материалов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Ед. изм.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 w:before="0" w:after="200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Цена 1 шт., тыс.руб.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 w:before="0" w:after="200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Итог, тыс.руб.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Краска на окна (Фазенда 0,9 кг)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Бан.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Краска на двери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Бан.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Краска на стены интерьерная (текс)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S - 25 кв.м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Бан.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0,25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Краска на потолок (текс) S – 25 кв.м.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Бан.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Грунтовка (акриловая)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Бан.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0,6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Кабель НЮМ 2*1,5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м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2 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Кабель НЮМ 2*1,5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м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0,6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3 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Скобки для крепления кабеля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0,75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Наждачная бумага для шлифования стен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м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Валик малярный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Ванночка для разведение краски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Кисть 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Розетка 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0,25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Выключатель 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0,25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0,25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Пилот 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Кабель - канал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Линолеум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кв.м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0,8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Плинтуса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кв.м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>
        <w:trPr>
          <w:trHeight w:val="345" w:hRule="atLeast"/>
        </w:trPr>
        <w:tc>
          <w:tcPr>
            <w:tcW w:w="83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               </w:t>
            </w:r>
            <w:r>
              <w:rPr>
                <w:sz w:val="20"/>
              </w:rPr>
              <w:t>Итого:</w:t>
            </w:r>
          </w:p>
        </w:tc>
        <w:tc>
          <w:tcPr>
            <w:tcW w:w="1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20,2</w:t>
            </w:r>
          </w:p>
        </w:tc>
      </w:tr>
    </w:tbl>
    <w:p>
      <w:pPr>
        <w:pStyle w:val="Normal"/>
        <w:jc w:val="both"/>
        <w:rPr>
          <w:sz w:val="20"/>
        </w:rPr>
      </w:pPr>
      <w:r>
        <w:rPr>
          <w:sz w:val="20"/>
        </w:rPr>
      </w:r>
    </w:p>
    <w:p>
      <w:pPr>
        <w:pStyle w:val="Normal"/>
        <w:numPr>
          <w:ilvl w:val="0"/>
          <w:numId w:val="7"/>
        </w:numPr>
        <w:tabs>
          <w:tab w:val="clear" w:pos="720"/>
          <w:tab w:val="left" w:pos="0" w:leader="none"/>
        </w:tabs>
        <w:spacing w:lineRule="auto" w:line="271"/>
        <w:ind w:left="0" w:right="19" w:firstLine="360"/>
        <w:jc w:val="both"/>
        <w:rPr>
          <w:sz w:val="20"/>
          <w:highlight w:val="white"/>
        </w:rPr>
      </w:pPr>
      <w:r>
        <w:rPr>
          <w:sz w:val="20"/>
          <w:highlight w:val="white"/>
        </w:rPr>
        <w:t>Оснащение структурных подразделений комп.оборудованием (расчет произведен по ценам 2016 года) – 169,5 тыс. руб, из них:</w:t>
      </w:r>
    </w:p>
    <w:p>
      <w:pPr>
        <w:pStyle w:val="Normal"/>
        <w:tabs>
          <w:tab w:val="clear" w:pos="720"/>
          <w:tab w:val="left" w:pos="709" w:leader="none"/>
        </w:tabs>
        <w:spacing w:lineRule="auto" w:line="271"/>
        <w:ind w:left="0" w:right="19" w:hanging="0"/>
        <w:jc w:val="both"/>
        <w:rPr>
          <w:b/>
          <w:b/>
          <w:sz w:val="20"/>
          <w:highlight w:val="white"/>
        </w:rPr>
      </w:pPr>
      <w:r>
        <w:rPr>
          <w:b/>
          <w:sz w:val="20"/>
          <w:highlight w:val="white"/>
        </w:rPr>
        <w:t>2018 год</w:t>
      </w:r>
    </w:p>
    <w:tbl>
      <w:tblPr>
        <w:tblW w:w="957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081"/>
        <w:gridCol w:w="1705"/>
        <w:gridCol w:w="2392"/>
        <w:gridCol w:w="5"/>
        <w:gridCol w:w="2387"/>
      </w:tblGrid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Кол-во (шт.)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Цена 1 шт., тыс.руб.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Итог, тыс.руб.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Ноутбук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Мышь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Антивирус, лицензия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Принтер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5,5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5,5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Картридж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Офисный пакет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>
        <w:trPr>
          <w:trHeight w:val="1" w:hRule="atLeast"/>
        </w:trPr>
        <w:tc>
          <w:tcPr>
            <w:tcW w:w="71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</w:t>
            </w:r>
            <w:r>
              <w:rPr>
                <w:sz w:val="20"/>
              </w:rPr>
              <w:t>Итого: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35,5</w:t>
            </w:r>
          </w:p>
        </w:tc>
      </w:tr>
    </w:tbl>
    <w:p>
      <w:pPr>
        <w:pStyle w:val="Normal"/>
        <w:tabs>
          <w:tab w:val="clear" w:pos="720"/>
          <w:tab w:val="left" w:pos="709" w:leader="none"/>
        </w:tabs>
        <w:spacing w:lineRule="auto" w:line="271"/>
        <w:ind w:left="0" w:right="19" w:hanging="0"/>
        <w:jc w:val="both"/>
        <w:rPr>
          <w:sz w:val="20"/>
          <w:highlight w:val="white"/>
        </w:rPr>
      </w:pPr>
      <w:r>
        <w:rPr>
          <w:sz w:val="20"/>
          <w:highlight w:val="white"/>
        </w:rPr>
      </w:r>
    </w:p>
    <w:p>
      <w:pPr>
        <w:pStyle w:val="Normal"/>
        <w:spacing w:lineRule="auto" w:line="276"/>
        <w:jc w:val="both"/>
        <w:rPr>
          <w:b/>
          <w:b/>
          <w:sz w:val="20"/>
        </w:rPr>
      </w:pPr>
      <w:r>
        <w:rPr>
          <w:b/>
          <w:sz w:val="20"/>
        </w:rPr>
        <w:t>2019год</w:t>
      </w:r>
    </w:p>
    <w:tbl>
      <w:tblPr>
        <w:tblW w:w="957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081"/>
        <w:gridCol w:w="1705"/>
        <w:gridCol w:w="2392"/>
        <w:gridCol w:w="5"/>
        <w:gridCol w:w="2387"/>
      </w:tblGrid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Кол-во (шт.)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Цена 1 шт., тыс.руб.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Итог, тыс.руб.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Ноутбук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Мышь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Антивирус, лицензия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Принтер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Картридж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Офисный пакет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>
        <w:trPr>
          <w:trHeight w:val="1" w:hRule="atLeast"/>
        </w:trPr>
        <w:tc>
          <w:tcPr>
            <w:tcW w:w="71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</w:t>
            </w:r>
            <w:r>
              <w:rPr>
                <w:sz w:val="20"/>
              </w:rPr>
              <w:t>Итого: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41,5</w:t>
            </w:r>
          </w:p>
        </w:tc>
      </w:tr>
    </w:tbl>
    <w:p>
      <w:pPr>
        <w:pStyle w:val="Normal"/>
        <w:spacing w:lineRule="auto" w:line="276"/>
        <w:jc w:val="center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76"/>
        <w:jc w:val="both"/>
        <w:rPr>
          <w:b/>
          <w:b/>
          <w:sz w:val="20"/>
        </w:rPr>
      </w:pPr>
      <w:r>
        <w:rPr>
          <w:b/>
          <w:sz w:val="20"/>
        </w:rPr>
        <w:t>2020 год</w:t>
      </w:r>
    </w:p>
    <w:tbl>
      <w:tblPr>
        <w:tblW w:w="957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081"/>
        <w:gridCol w:w="1705"/>
        <w:gridCol w:w="2392"/>
        <w:gridCol w:w="5"/>
        <w:gridCol w:w="2387"/>
      </w:tblGrid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Кол-во (шт.)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Цена 1 шт., тыс.руб.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Итог, тыс.руб.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Ноутбук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Мышь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Антивирус, лицензия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Принтер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Картридж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Офисный пакет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>
        <w:trPr>
          <w:trHeight w:val="1" w:hRule="atLeast"/>
        </w:trPr>
        <w:tc>
          <w:tcPr>
            <w:tcW w:w="71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</w:t>
            </w:r>
            <w:r>
              <w:rPr>
                <w:sz w:val="20"/>
              </w:rPr>
              <w:t>Итого: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42</w:t>
            </w:r>
          </w:p>
        </w:tc>
      </w:tr>
    </w:tbl>
    <w:p>
      <w:pPr>
        <w:pStyle w:val="Normal"/>
        <w:spacing w:lineRule="auto" w:line="276"/>
        <w:jc w:val="center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76"/>
        <w:jc w:val="both"/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spacing w:lineRule="auto" w:line="276"/>
        <w:jc w:val="both"/>
        <w:rPr>
          <w:b/>
          <w:b/>
          <w:sz w:val="20"/>
        </w:rPr>
      </w:pPr>
      <w:r>
        <w:rPr>
          <w:b/>
          <w:sz w:val="20"/>
        </w:rPr>
        <w:t>2021 год</w:t>
      </w:r>
    </w:p>
    <w:tbl>
      <w:tblPr>
        <w:tblW w:w="957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081"/>
        <w:gridCol w:w="1705"/>
        <w:gridCol w:w="2392"/>
        <w:gridCol w:w="5"/>
        <w:gridCol w:w="2387"/>
      </w:tblGrid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Кол-во (шт.)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Цена 1 шт., тыс.руб.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Итог, тыс.руб.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Ноутбук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Мышь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Антивирус, лицензия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2,5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2,5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Принтер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6,5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6,5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Картридж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2,5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Офисный пакет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4,5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4,5</w:t>
            </w:r>
          </w:p>
        </w:tc>
      </w:tr>
      <w:tr>
        <w:trPr>
          <w:trHeight w:val="1" w:hRule="atLeast"/>
        </w:trPr>
        <w:tc>
          <w:tcPr>
            <w:tcW w:w="71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</w:t>
            </w:r>
            <w:r>
              <w:rPr>
                <w:sz w:val="20"/>
              </w:rPr>
              <w:t>Итого: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</w:tr>
    </w:tbl>
    <w:p>
      <w:pPr>
        <w:pStyle w:val="Normal"/>
        <w:spacing w:lineRule="auto" w:line="276"/>
        <w:jc w:val="both"/>
        <w:rPr>
          <w:sz w:val="20"/>
        </w:rPr>
      </w:pPr>
      <w:r>
        <w:rPr>
          <w:sz w:val="20"/>
        </w:rPr>
      </w:r>
    </w:p>
    <w:p>
      <w:pPr>
        <w:pStyle w:val="Normal"/>
        <w:numPr>
          <w:ilvl w:val="0"/>
          <w:numId w:val="6"/>
        </w:numPr>
        <w:ind w:left="0" w:right="0" w:firstLine="360"/>
        <w:jc w:val="both"/>
        <w:rPr>
          <w:sz w:val="20"/>
        </w:rPr>
      </w:pPr>
      <w:r>
        <w:rPr>
          <w:sz w:val="20"/>
        </w:rPr>
        <w:t>Подключение структурных подразделений к сети Интернет. Расчёт сделан на основании коммерческого предложения карельского филиала ОАО «Ростелеком» (по ценам 2017 года) 24,2 тыс.рублей из них:</w:t>
      </w:r>
    </w:p>
    <w:p>
      <w:pPr>
        <w:pStyle w:val="Normal"/>
        <w:jc w:val="both"/>
        <w:rPr>
          <w:b/>
          <w:b/>
          <w:sz w:val="20"/>
        </w:rPr>
      </w:pPr>
      <w:r>
        <w:rPr>
          <w:b/>
          <w:sz w:val="20"/>
        </w:rPr>
        <w:t>2018 год пос. Куркиёки</w:t>
      </w:r>
    </w:p>
    <w:tbl>
      <w:tblPr>
        <w:tblW w:w="957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652"/>
        <w:gridCol w:w="1701"/>
        <w:gridCol w:w="1825"/>
        <w:gridCol w:w="5"/>
        <w:gridCol w:w="2387"/>
      </w:tblGrid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Кол-во 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Цена 1 шт., тыс.руб.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Итог, тыс.руб.</w:t>
            </w:r>
          </w:p>
        </w:tc>
      </w:tr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Предоставление доступа к сети Интернет на безлимитные тарифные планы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скорость выше 3072 Кбит/с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Регистрация статического IP-адреса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</w:tr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Поддержка статического IP-адреса в месяц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1,8</w:t>
            </w:r>
          </w:p>
        </w:tc>
      </w:tr>
      <w:tr>
        <w:trPr>
          <w:trHeight w:val="1" w:hRule="atLeast"/>
        </w:trPr>
        <w:tc>
          <w:tcPr>
            <w:tcW w:w="71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</w:t>
            </w:r>
            <w:r>
              <w:rPr>
                <w:sz w:val="20"/>
              </w:rPr>
              <w:t>Итого: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5,1</w:t>
            </w:r>
          </w:p>
        </w:tc>
      </w:tr>
    </w:tbl>
    <w:p>
      <w:pPr>
        <w:pStyle w:val="Normal"/>
        <w:jc w:val="both"/>
        <w:rPr>
          <w:sz w:val="20"/>
        </w:rPr>
      </w:pPr>
      <w:r>
        <w:rPr>
          <w:sz w:val="20"/>
        </w:rPr>
      </w:r>
    </w:p>
    <w:p>
      <w:pPr>
        <w:pStyle w:val="Normal"/>
        <w:jc w:val="both"/>
        <w:rPr>
          <w:b/>
          <w:b/>
          <w:sz w:val="20"/>
        </w:rPr>
      </w:pPr>
      <w:r>
        <w:rPr>
          <w:b/>
          <w:sz w:val="20"/>
        </w:rPr>
        <w:t>2019 год пос. Лассанен</w:t>
      </w:r>
    </w:p>
    <w:tbl>
      <w:tblPr>
        <w:tblW w:w="957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652"/>
        <w:gridCol w:w="1701"/>
        <w:gridCol w:w="2267"/>
        <w:gridCol w:w="1"/>
        <w:gridCol w:w="1949"/>
      </w:tblGrid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Кол-во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Цена 1 шт., тыс.руб.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Итог, тыс.руб.</w:t>
            </w:r>
          </w:p>
        </w:tc>
      </w:tr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Предоставление доступа к сети Интернет на безлимитные тарифные планы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скорость выше 3072 Кбит/с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Регистрация статического IP-адреса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</w:tr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Поддержка статического IP-адреса в месяц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1,8</w:t>
            </w:r>
          </w:p>
        </w:tc>
      </w:tr>
      <w:tr>
        <w:trPr>
          <w:trHeight w:val="1" w:hRule="atLeast"/>
        </w:trPr>
        <w:tc>
          <w:tcPr>
            <w:tcW w:w="7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</w:t>
            </w:r>
            <w:r>
              <w:rPr>
                <w:sz w:val="20"/>
              </w:rPr>
              <w:t>Итого:</w:t>
            </w:r>
          </w:p>
        </w:tc>
        <w:tc>
          <w:tcPr>
            <w:tcW w:w="1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5,1</w:t>
            </w:r>
          </w:p>
        </w:tc>
      </w:tr>
    </w:tbl>
    <w:p>
      <w:pPr>
        <w:pStyle w:val="Normal"/>
        <w:spacing w:lineRule="auto" w:line="276"/>
        <w:jc w:val="both"/>
        <w:rPr>
          <w:sz w:val="20"/>
        </w:rPr>
      </w:pPr>
      <w:r>
        <w:rPr>
          <w:sz w:val="20"/>
        </w:rPr>
      </w:r>
    </w:p>
    <w:p>
      <w:pPr>
        <w:pStyle w:val="Normal"/>
        <w:jc w:val="both"/>
        <w:rPr>
          <w:b/>
          <w:b/>
          <w:sz w:val="20"/>
        </w:rPr>
      </w:pPr>
      <w:r>
        <w:rPr>
          <w:b/>
          <w:sz w:val="20"/>
        </w:rPr>
        <w:t>2020 год пос. Хийтола</w:t>
      </w:r>
    </w:p>
    <w:tbl>
      <w:tblPr>
        <w:tblW w:w="957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652"/>
        <w:gridCol w:w="1701"/>
        <w:gridCol w:w="2267"/>
        <w:gridCol w:w="1"/>
        <w:gridCol w:w="1949"/>
      </w:tblGrid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Кол-во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Цена 1 шт., тыс.руб.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Итог, тыс.руб.</w:t>
            </w:r>
          </w:p>
        </w:tc>
      </w:tr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Предоставление доступа к сети Интернет на безлимитные тарифные планы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скорость выше 3072 Кбит/с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Регистрация статического IP-адреса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0,6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0,6</w:t>
            </w:r>
          </w:p>
        </w:tc>
      </w:tr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Поддержка статического IP-адреса в месяц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2,4</w:t>
            </w:r>
          </w:p>
        </w:tc>
      </w:tr>
      <w:tr>
        <w:trPr>
          <w:trHeight w:val="1" w:hRule="atLeast"/>
        </w:trPr>
        <w:tc>
          <w:tcPr>
            <w:tcW w:w="7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</w:t>
            </w:r>
            <w:r>
              <w:rPr>
                <w:sz w:val="20"/>
              </w:rPr>
              <w:t>Итого:</w:t>
            </w:r>
          </w:p>
        </w:tc>
        <w:tc>
          <w:tcPr>
            <w:tcW w:w="1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</w:tr>
    </w:tbl>
    <w:p>
      <w:pPr>
        <w:pStyle w:val="Normal"/>
        <w:spacing w:lineRule="auto" w:line="276"/>
        <w:jc w:val="both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76"/>
        <w:jc w:val="both"/>
        <w:rPr>
          <w:sz w:val="20"/>
        </w:rPr>
      </w:pPr>
      <w:r>
        <w:rPr>
          <w:sz w:val="20"/>
        </w:rPr>
      </w:r>
    </w:p>
    <w:p>
      <w:pPr>
        <w:pStyle w:val="Normal"/>
        <w:jc w:val="both"/>
        <w:rPr>
          <w:b/>
          <w:b/>
          <w:sz w:val="20"/>
        </w:rPr>
      </w:pPr>
      <w:r>
        <w:rPr>
          <w:b/>
          <w:sz w:val="20"/>
        </w:rPr>
        <w:t>2021 год пос. Элисенваара</w:t>
      </w:r>
    </w:p>
    <w:tbl>
      <w:tblPr>
        <w:tblW w:w="957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652"/>
        <w:gridCol w:w="1701"/>
        <w:gridCol w:w="2267"/>
        <w:gridCol w:w="1"/>
        <w:gridCol w:w="1949"/>
      </w:tblGrid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Кол-во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Цена, тыс.руб.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Итог, тыс.руб.</w:t>
            </w:r>
          </w:p>
        </w:tc>
      </w:tr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Предоставление доступа к сети Интернет на безлимитные тарифные планы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скорость выше 3072 Кбит/с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Регистрация статического IP-адреса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0,6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0,6</w:t>
            </w:r>
          </w:p>
        </w:tc>
      </w:tr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Поддержка статического IP-адреса в месяц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2,4</w:t>
            </w:r>
          </w:p>
        </w:tc>
      </w:tr>
      <w:tr>
        <w:trPr>
          <w:trHeight w:val="1" w:hRule="atLeast"/>
        </w:trPr>
        <w:tc>
          <w:tcPr>
            <w:tcW w:w="7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</w:t>
            </w:r>
            <w:r>
              <w:rPr>
                <w:sz w:val="20"/>
              </w:rPr>
              <w:t>Итого:</w:t>
            </w:r>
          </w:p>
        </w:tc>
        <w:tc>
          <w:tcPr>
            <w:tcW w:w="1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</w:tr>
    </w:tbl>
    <w:p>
      <w:pPr>
        <w:pStyle w:val="Normal"/>
        <w:numPr>
          <w:ilvl w:val="0"/>
          <w:numId w:val="5"/>
        </w:numPr>
        <w:ind w:left="720" w:right="0" w:hanging="360"/>
        <w:jc w:val="both"/>
        <w:rPr>
          <w:sz w:val="20"/>
        </w:rPr>
      </w:pPr>
      <w:r>
        <w:rPr>
          <w:sz w:val="20"/>
        </w:rPr>
        <w:t>Обновление библиотечных фондов</w:t>
      </w:r>
    </w:p>
    <w:p>
      <w:pPr>
        <w:pStyle w:val="Normal"/>
        <w:jc w:val="both"/>
        <w:rPr>
          <w:sz w:val="20"/>
        </w:rPr>
      </w:pPr>
      <w:r>
        <w:rPr>
          <w:sz w:val="20"/>
        </w:rPr>
        <w:t>По данным статистической отчетности 6 НК за2016 год количество экземпляров книжного фонда в МКУК «МБ ЛМР» составляет 51500 штук.</w:t>
      </w:r>
    </w:p>
    <w:p>
      <w:pPr>
        <w:pStyle w:val="Normal"/>
        <w:jc w:val="both"/>
        <w:rPr>
          <w:sz w:val="20"/>
        </w:rPr>
      </w:pPr>
      <w:r>
        <w:rPr>
          <w:sz w:val="20"/>
        </w:rPr>
        <w:t>Средняя стоимость одной вновь приобретаемой книги составляет 200 рублей.</w:t>
      </w:r>
    </w:p>
    <w:p>
      <w:pPr>
        <w:pStyle w:val="Normal"/>
        <w:jc w:val="both"/>
        <w:rPr>
          <w:sz w:val="20"/>
        </w:rPr>
      </w:pPr>
      <w:r>
        <w:rPr>
          <w:sz w:val="20"/>
        </w:rPr>
        <w:t>Расчет потребности для обновления книжного фонда:</w:t>
      </w:r>
    </w:p>
    <w:tbl>
      <w:tblPr>
        <w:tblW w:w="9712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2495"/>
        <w:gridCol w:w="1386"/>
        <w:gridCol w:w="1464"/>
        <w:gridCol w:w="1552"/>
        <w:gridCol w:w="1437"/>
        <w:gridCol w:w="1377"/>
      </w:tblGrid>
      <w:tr>
        <w:trPr>
          <w:trHeight w:val="1" w:hRule="atLeast"/>
        </w:trPr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2018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2019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2020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</w:tr>
      <w:tr>
        <w:trPr>
          <w:trHeight w:val="1" w:hRule="atLeast"/>
        </w:trPr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% обновления книжного фонда в год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0,6</w:t>
            </w:r>
          </w:p>
        </w:tc>
      </w:tr>
      <w:tr>
        <w:trPr>
          <w:trHeight w:val="1" w:hRule="atLeast"/>
        </w:trPr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Количество обновляемых экземпляров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157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210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262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315</w:t>
            </w:r>
          </w:p>
        </w:tc>
      </w:tr>
      <w:tr>
        <w:trPr>
          <w:trHeight w:val="1" w:hRule="atLeast"/>
        </w:trPr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Требуемые финансовые6средства для обновления книжного фонда  (тыс. рублей)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31,4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52,4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</w:tr>
    </w:tbl>
    <w:p>
      <w:pPr>
        <w:pStyle w:val="Normal"/>
        <w:numPr>
          <w:ilvl w:val="0"/>
          <w:numId w:val="4"/>
        </w:numPr>
        <w:tabs>
          <w:tab w:val="clear" w:pos="720"/>
          <w:tab w:val="left" w:pos="0" w:leader="none"/>
        </w:tabs>
        <w:spacing w:lineRule="auto" w:line="271"/>
        <w:ind w:left="0" w:right="19" w:firstLine="360"/>
        <w:jc w:val="both"/>
        <w:rPr>
          <w:sz w:val="20"/>
          <w:highlight w:val="white"/>
        </w:rPr>
      </w:pPr>
      <w:r>
        <w:rPr>
          <w:sz w:val="20"/>
          <w:highlight w:val="white"/>
        </w:rPr>
        <w:t>Модернизация 1 рабочего места в МБУК «Куркиёкский краеведческий центр» (расчет произведен по ценам 2016 года) – 33,1 тыс. руб, из них:</w:t>
      </w:r>
    </w:p>
    <w:p>
      <w:pPr>
        <w:pStyle w:val="Normal"/>
        <w:tabs>
          <w:tab w:val="clear" w:pos="720"/>
          <w:tab w:val="left" w:pos="709" w:leader="none"/>
        </w:tabs>
        <w:spacing w:lineRule="auto" w:line="271"/>
        <w:ind w:left="0" w:right="19" w:hanging="0"/>
        <w:jc w:val="both"/>
        <w:rPr>
          <w:b/>
          <w:b/>
          <w:sz w:val="20"/>
          <w:highlight w:val="white"/>
        </w:rPr>
      </w:pPr>
      <w:r>
        <w:rPr>
          <w:b/>
          <w:sz w:val="20"/>
          <w:highlight w:val="white"/>
        </w:rPr>
        <w:t>2019 год</w:t>
      </w:r>
    </w:p>
    <w:tbl>
      <w:tblPr>
        <w:tblW w:w="957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081"/>
        <w:gridCol w:w="1705"/>
        <w:gridCol w:w="2392"/>
        <w:gridCol w:w="5"/>
        <w:gridCol w:w="2387"/>
      </w:tblGrid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Кол-во (шт.)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Цена 1 шт., тыс.руб.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Итог, тыс.руб.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Ноутбук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Мышь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Антивирус, лицензия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Картридж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Офисный пакет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>
        <w:trPr>
          <w:trHeight w:val="1" w:hRule="atLeast"/>
        </w:trPr>
        <w:tc>
          <w:tcPr>
            <w:tcW w:w="71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</w:t>
            </w:r>
            <w:r>
              <w:rPr>
                <w:sz w:val="20"/>
              </w:rPr>
              <w:t>Итого: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28</w:t>
            </w:r>
          </w:p>
        </w:tc>
      </w:tr>
    </w:tbl>
    <w:p>
      <w:pPr>
        <w:pStyle w:val="Normal"/>
        <w:ind w:left="0" w:right="0" w:firstLine="720"/>
        <w:jc w:val="both"/>
        <w:rPr/>
      </w:pPr>
      <w:r>
        <w:rPr>
          <w:sz w:val="20"/>
        </w:rPr>
        <w:t>6.Подключение МБУК «Куркиёкский краеведческий центр» к сети Интернет.</w:t>
      </w:r>
      <w:r>
        <w:rPr>
          <w:rFonts w:eastAsia="Calibri" w:cs="Calibri" w:ascii="Calibri" w:hAnsi="Calibri"/>
          <w:sz w:val="20"/>
        </w:rPr>
        <w:t xml:space="preserve"> </w:t>
      </w:r>
      <w:r>
        <w:rPr>
          <w:sz w:val="20"/>
        </w:rPr>
        <w:t>Расчёт сделан на основании коммерческого предложения карельского филиала ОАО «Ростелеком» (по ценам 2017 года) 5,1 тыс.рублей из них:</w:t>
      </w:r>
    </w:p>
    <w:p>
      <w:pPr>
        <w:pStyle w:val="Normal"/>
        <w:jc w:val="both"/>
        <w:rPr>
          <w:b/>
          <w:b/>
          <w:sz w:val="20"/>
        </w:rPr>
      </w:pPr>
      <w:r>
        <w:rPr>
          <w:b/>
          <w:sz w:val="20"/>
        </w:rPr>
        <w:t xml:space="preserve">2019 год </w:t>
      </w:r>
    </w:p>
    <w:tbl>
      <w:tblPr>
        <w:tblW w:w="957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652"/>
        <w:gridCol w:w="1701"/>
        <w:gridCol w:w="1825"/>
        <w:gridCol w:w="5"/>
        <w:gridCol w:w="2387"/>
      </w:tblGrid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Кол-во 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Цена 1 шт., тыс.руб.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Итог, тыс.руб.</w:t>
            </w:r>
          </w:p>
        </w:tc>
      </w:tr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/>
            </w:pPr>
            <w:r>
              <w:rPr>
                <w:sz w:val="20"/>
              </w:rPr>
              <w:t xml:space="preserve">Предоставление доступа к сети Интернет на безлимитные тарифные планы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/>
            </w:pPr>
            <w:r>
              <w:rPr>
                <w:sz w:val="20"/>
              </w:rPr>
              <w:t>скорость выше 3072 Кбит/с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Регистрация статического IP-адреса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</w:tr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Поддержка статического IP-адреса в месяц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1,8</w:t>
            </w:r>
          </w:p>
        </w:tc>
      </w:tr>
      <w:tr>
        <w:trPr>
          <w:trHeight w:val="1" w:hRule="atLeast"/>
        </w:trPr>
        <w:tc>
          <w:tcPr>
            <w:tcW w:w="71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</w:t>
            </w:r>
            <w:r>
              <w:rPr>
                <w:sz w:val="20"/>
              </w:rPr>
              <w:t>Итого: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5,1</w:t>
            </w:r>
          </w:p>
        </w:tc>
      </w:tr>
    </w:tbl>
    <w:p>
      <w:pPr>
        <w:pStyle w:val="Normal"/>
        <w:jc w:val="both"/>
        <w:rPr>
          <w:sz w:val="20"/>
        </w:rPr>
      </w:pPr>
      <w:r>
        <w:rPr>
          <w:sz w:val="20"/>
        </w:rPr>
        <w:t xml:space="preserve"> </w:t>
      </w:r>
    </w:p>
    <w:p>
      <w:pPr>
        <w:pStyle w:val="Normal"/>
        <w:ind w:left="0" w:right="0" w:firstLine="426"/>
        <w:jc w:val="both"/>
        <w:rPr/>
      </w:pPr>
      <w:r>
        <w:rPr>
          <w:sz w:val="20"/>
          <w:highlight w:val="white"/>
        </w:rPr>
        <w:t xml:space="preserve">7. Приобретение экспозиционно-выставочного оборудования в </w:t>
      </w:r>
      <w:r>
        <w:rPr>
          <w:sz w:val="20"/>
        </w:rPr>
        <w:t>МБУК «Куркиёкский краеведческий центр» по ценам 2016 года</w:t>
      </w:r>
      <w:r>
        <w:rPr>
          <w:sz w:val="20"/>
          <w:highlight w:val="white"/>
        </w:rPr>
        <w:t xml:space="preserve"> (витрины, электрооборудование, крепления) – 238,3 тыс.рублей из них: </w:t>
      </w:r>
    </w:p>
    <w:p>
      <w:pPr>
        <w:pStyle w:val="Normal"/>
        <w:ind w:left="284" w:right="0" w:hanging="0"/>
        <w:jc w:val="both"/>
        <w:rPr>
          <w:b/>
          <w:b/>
          <w:sz w:val="20"/>
          <w:highlight w:val="white"/>
        </w:rPr>
      </w:pPr>
      <w:r>
        <w:rPr>
          <w:b/>
          <w:sz w:val="20"/>
          <w:highlight w:val="white"/>
        </w:rPr>
        <w:t>2018 год</w:t>
      </w:r>
    </w:p>
    <w:tbl>
      <w:tblPr>
        <w:tblW w:w="957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652"/>
        <w:gridCol w:w="1701"/>
        <w:gridCol w:w="2120"/>
        <w:gridCol w:w="1"/>
        <w:gridCol w:w="2096"/>
      </w:tblGrid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Кол-во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Цена 1 шт., тыс.руб.</w:t>
            </w:r>
          </w:p>
        </w:tc>
        <w:tc>
          <w:tcPr>
            <w:tcW w:w="2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Итог, тыс.руб.</w:t>
            </w:r>
          </w:p>
        </w:tc>
      </w:tr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Витрина горизонтальная из алюминиевого профиля и ЛДСП с раздвижными дверцами и замком с подсветкой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6,2</w:t>
            </w:r>
          </w:p>
        </w:tc>
        <w:tc>
          <w:tcPr>
            <w:tcW w:w="2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18,6</w:t>
            </w:r>
          </w:p>
        </w:tc>
      </w:tr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Витрина горизонтальная из алюминиевого профиля и ЛДСП с распашными стеклянными дверцами и замком с подсветкой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9,8</w:t>
            </w:r>
          </w:p>
        </w:tc>
        <w:tc>
          <w:tcPr>
            <w:tcW w:w="2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19,6</w:t>
            </w:r>
          </w:p>
        </w:tc>
      </w:tr>
      <w:tr>
        <w:trPr>
          <w:trHeight w:val="1" w:hRule="atLeast"/>
        </w:trPr>
        <w:tc>
          <w:tcPr>
            <w:tcW w:w="74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</w:t>
            </w:r>
            <w:r>
              <w:rPr>
                <w:sz w:val="20"/>
              </w:rPr>
              <w:t>Итого: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38,2</w:t>
            </w:r>
          </w:p>
        </w:tc>
      </w:tr>
    </w:tbl>
    <w:p>
      <w:pPr>
        <w:pStyle w:val="Normal"/>
        <w:ind w:left="284" w:right="0" w:hanging="0"/>
        <w:jc w:val="both"/>
        <w:rPr>
          <w:b/>
          <w:b/>
          <w:sz w:val="20"/>
          <w:highlight w:val="white"/>
        </w:rPr>
      </w:pPr>
      <w:r>
        <w:rPr>
          <w:b/>
          <w:sz w:val="20"/>
          <w:highlight w:val="white"/>
        </w:rPr>
        <w:t>2019 год</w:t>
      </w:r>
    </w:p>
    <w:tbl>
      <w:tblPr>
        <w:tblW w:w="957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652"/>
        <w:gridCol w:w="1701"/>
        <w:gridCol w:w="2120"/>
        <w:gridCol w:w="1"/>
        <w:gridCol w:w="2096"/>
      </w:tblGrid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Кол-во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Цена 1 шт., тыс.руб.</w:t>
            </w:r>
          </w:p>
        </w:tc>
        <w:tc>
          <w:tcPr>
            <w:tcW w:w="2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Итог, тыс.руб.</w:t>
            </w:r>
          </w:p>
        </w:tc>
      </w:tr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Горизонтальная витрина из алюминиевого профиля и ЛДСП с распашными стеклянными дверцами и замком с подсветкой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11,3</w:t>
            </w:r>
          </w:p>
        </w:tc>
        <w:tc>
          <w:tcPr>
            <w:tcW w:w="2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33,9</w:t>
            </w:r>
          </w:p>
        </w:tc>
      </w:tr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Витрина горизонтальная из алюминиевого профиля с распашными стеклянными дверцами и замком с подсветкой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</w:tr>
      <w:tr>
        <w:trPr>
          <w:trHeight w:val="1" w:hRule="atLeast"/>
        </w:trPr>
        <w:tc>
          <w:tcPr>
            <w:tcW w:w="74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</w:t>
            </w:r>
            <w:r>
              <w:rPr>
                <w:sz w:val="20"/>
              </w:rPr>
              <w:t>Итого: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55,9</w:t>
            </w:r>
          </w:p>
        </w:tc>
      </w:tr>
    </w:tbl>
    <w:p>
      <w:pPr>
        <w:pStyle w:val="Normal"/>
        <w:ind w:left="284" w:right="0" w:hanging="0"/>
        <w:jc w:val="both"/>
        <w:rPr>
          <w:b/>
          <w:b/>
          <w:sz w:val="20"/>
          <w:highlight w:val="white"/>
        </w:rPr>
      </w:pPr>
      <w:r>
        <w:rPr>
          <w:b/>
          <w:sz w:val="20"/>
          <w:highlight w:val="white"/>
        </w:rPr>
        <w:t>2020 год</w:t>
      </w:r>
    </w:p>
    <w:tbl>
      <w:tblPr>
        <w:tblW w:w="957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652"/>
        <w:gridCol w:w="1701"/>
        <w:gridCol w:w="2120"/>
        <w:gridCol w:w="1"/>
        <w:gridCol w:w="2096"/>
      </w:tblGrid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Кол-во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Цена 1 шт., тыс.руб.</w:t>
            </w:r>
          </w:p>
        </w:tc>
        <w:tc>
          <w:tcPr>
            <w:tcW w:w="2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Итог, тыс.руб.</w:t>
            </w:r>
          </w:p>
        </w:tc>
      </w:tr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Витрина горизонтальная из алюминиевого профиля с распашными стеклянными дверями с замком. Для объёмных экспонатов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14,2</w:t>
            </w:r>
          </w:p>
        </w:tc>
        <w:tc>
          <w:tcPr>
            <w:tcW w:w="2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56,8</w:t>
            </w:r>
          </w:p>
        </w:tc>
      </w:tr>
      <w:tr>
        <w:trPr>
          <w:trHeight w:val="1" w:hRule="atLeast"/>
        </w:trPr>
        <w:tc>
          <w:tcPr>
            <w:tcW w:w="74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</w:t>
            </w:r>
            <w:r>
              <w:rPr>
                <w:sz w:val="20"/>
              </w:rPr>
              <w:t>Итого: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56,8</w:t>
            </w:r>
          </w:p>
        </w:tc>
      </w:tr>
    </w:tbl>
    <w:p>
      <w:pPr>
        <w:pStyle w:val="Normal"/>
        <w:ind w:left="284" w:right="0" w:hanging="0"/>
        <w:jc w:val="both"/>
        <w:rPr>
          <w:b/>
          <w:b/>
          <w:sz w:val="20"/>
          <w:highlight w:val="white"/>
        </w:rPr>
      </w:pPr>
      <w:r>
        <w:rPr>
          <w:b/>
          <w:sz w:val="20"/>
          <w:highlight w:val="white"/>
        </w:rPr>
        <w:t>2021 год</w:t>
      </w:r>
    </w:p>
    <w:tbl>
      <w:tblPr>
        <w:tblW w:w="957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652"/>
        <w:gridCol w:w="1701"/>
        <w:gridCol w:w="2120"/>
        <w:gridCol w:w="1"/>
        <w:gridCol w:w="2096"/>
      </w:tblGrid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Кол-во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Цена 1 шт., тыс.руб.</w:t>
            </w:r>
          </w:p>
        </w:tc>
        <w:tc>
          <w:tcPr>
            <w:tcW w:w="2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Итог, тыс.руб.</w:t>
            </w:r>
          </w:p>
        </w:tc>
      </w:tr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Витрина горизонтальная угловая из алюминиевого профиля с распашной стеклянной дверцей с замком и распашной дверцей из ЛДСП с замком в тумбе.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2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24,4</w:t>
            </w:r>
          </w:p>
        </w:tc>
      </w:tr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Витрина горизонтальная из алюминиевого профиля и ЛДСП с распашными стеклянными дверями с замком распашными дверцами из ЛДСП с замком в тумбе.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10,5</w:t>
            </w:r>
          </w:p>
        </w:tc>
        <w:tc>
          <w:tcPr>
            <w:tcW w:w="2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</w:tr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Витрина горизонтальная из алюминиевого профиля с распашными стеклянными дверями с замком. Для объёмных экспонатов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</w:tr>
      <w:tr>
        <w:trPr>
          <w:trHeight w:val="1" w:hRule="atLeast"/>
        </w:trPr>
        <w:tc>
          <w:tcPr>
            <w:tcW w:w="74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</w:t>
            </w:r>
            <w:r>
              <w:rPr>
                <w:sz w:val="20"/>
              </w:rPr>
              <w:t>Итого: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87,4</w:t>
            </w:r>
          </w:p>
        </w:tc>
      </w:tr>
    </w:tbl>
    <w:p>
      <w:pPr>
        <w:pStyle w:val="Normal"/>
        <w:jc w:val="center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76" w:before="0" w:after="200"/>
        <w:jc w:val="both"/>
        <w:rPr>
          <w:sz w:val="20"/>
        </w:rPr>
      </w:pPr>
      <w:r>
        <w:rPr>
          <w:sz w:val="20"/>
        </w:rPr>
        <w:t>8. Примерная смета расходов на ремонт воинских захоронений сельских поселений ЛМР</w:t>
      </w:r>
    </w:p>
    <w:tbl>
      <w:tblPr>
        <w:tblW w:w="9712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489"/>
        <w:gridCol w:w="1601"/>
        <w:gridCol w:w="2"/>
        <w:gridCol w:w="1594"/>
        <w:gridCol w:w="3"/>
        <w:gridCol w:w="2341"/>
        <w:gridCol w:w="3"/>
        <w:gridCol w:w="3679"/>
      </w:tblGrid>
      <w:tr>
        <w:trPr>
          <w:trHeight w:val="1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r>
              <w:rPr>
                <w:sz w:val="20"/>
              </w:rPr>
              <w:t>п/п</w:t>
            </w:r>
          </w:p>
        </w:tc>
        <w:tc>
          <w:tcPr>
            <w:tcW w:w="1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Поселение</w:t>
            </w:r>
          </w:p>
        </w:tc>
        <w:tc>
          <w:tcPr>
            <w:tcW w:w="1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Воинское захоронение</w:t>
            </w:r>
          </w:p>
        </w:tc>
        <w:tc>
          <w:tcPr>
            <w:tcW w:w="2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ремонтных работ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Смета</w:t>
            </w:r>
          </w:p>
        </w:tc>
      </w:tr>
      <w:tr>
        <w:trPr>
          <w:trHeight w:val="1" w:hRule="atLeast"/>
        </w:trPr>
        <w:tc>
          <w:tcPr>
            <w:tcW w:w="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Хийтольское с/п</w:t>
            </w:r>
          </w:p>
        </w:tc>
        <w:tc>
          <w:tcPr>
            <w:tcW w:w="1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 xml:space="preserve">воинское захоронение </w:t>
            </w:r>
            <w:r>
              <w:rPr>
                <w:b/>
                <w:sz w:val="20"/>
              </w:rPr>
              <w:t>№5</w:t>
            </w:r>
            <w:r>
              <w:rPr>
                <w:sz w:val="20"/>
              </w:rPr>
              <w:t>- Братское кладбище п.Хийтола.</w:t>
            </w:r>
          </w:p>
        </w:tc>
        <w:tc>
          <w:tcPr>
            <w:tcW w:w="2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numPr>
                <w:ilvl w:val="0"/>
                <w:numId w:val="3"/>
              </w:numPr>
              <w:ind w:left="277" w:right="0" w:hanging="277"/>
              <w:rPr>
                <w:sz w:val="20"/>
              </w:rPr>
            </w:pPr>
            <w:r>
              <w:rPr>
                <w:sz w:val="20"/>
              </w:rPr>
              <w:t>Покраска ограды (шир7м.,дл.20м.)</w:t>
            </w:r>
          </w:p>
          <w:p>
            <w:pPr>
              <w:pStyle w:val="Normal"/>
              <w:numPr>
                <w:ilvl w:val="0"/>
                <w:numId w:val="3"/>
              </w:numPr>
              <w:ind w:left="277" w:right="0" w:hanging="277"/>
              <w:rPr>
                <w:sz w:val="20"/>
              </w:rPr>
            </w:pPr>
            <w:r>
              <w:rPr>
                <w:sz w:val="20"/>
              </w:rPr>
              <w:t>Покраска одиночных могил (37 шт.)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1.Краска серебрянка 5 шт. х 139 руб. = 695 руб.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2. Краска серебрянка 4 шт. х 139 руб. = 556 руб.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Итого: 1251 руб. х 106 % /100 = 1326 руб.</w:t>
            </w:r>
          </w:p>
        </w:tc>
      </w:tr>
      <w:tr>
        <w:trPr>
          <w:trHeight w:val="1363" w:hRule="atLeast"/>
        </w:trPr>
        <w:tc>
          <w:tcPr>
            <w:tcW w:w="4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0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 xml:space="preserve">- воинское захоронение </w:t>
            </w:r>
            <w:r>
              <w:rPr>
                <w:b/>
                <w:sz w:val="20"/>
              </w:rPr>
              <w:t>№13</w:t>
            </w:r>
            <w:r>
              <w:rPr>
                <w:sz w:val="20"/>
              </w:rPr>
              <w:t xml:space="preserve"> – братская могила п.Куликово</w:t>
            </w:r>
          </w:p>
        </w:tc>
        <w:tc>
          <w:tcPr>
            <w:tcW w:w="2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 Покраска памятника 2,5м.х3,9м.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1. Краска серебрянка 3 шт. х 139 руб. = 417 руб.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2. Краска акрил 3- х цветов 5 шт. х 187 руб.=935 руб.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3.Цемент 2 кг.= 49 руб.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Итого: 1401руб. х 106%/100=1485 руб.</w:t>
            </w:r>
          </w:p>
        </w:tc>
      </w:tr>
      <w:tr>
        <w:trPr>
          <w:trHeight w:val="1" w:hRule="atLeast"/>
        </w:trPr>
        <w:tc>
          <w:tcPr>
            <w:tcW w:w="4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0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 xml:space="preserve">- воинское захоронение </w:t>
            </w:r>
            <w:r>
              <w:rPr>
                <w:b/>
                <w:sz w:val="20"/>
              </w:rPr>
              <w:t xml:space="preserve">№14 </w:t>
            </w:r>
            <w:r>
              <w:rPr>
                <w:sz w:val="20"/>
              </w:rPr>
              <w:t>-одиночная могила п. Тоунан</w:t>
            </w:r>
          </w:p>
        </w:tc>
        <w:tc>
          <w:tcPr>
            <w:tcW w:w="2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 Покраска памятника 0,6х0,6м.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</w:tr>
      <w:tr>
        <w:trPr>
          <w:trHeight w:val="1" w:hRule="atLeast"/>
        </w:trPr>
        <w:tc>
          <w:tcPr>
            <w:tcW w:w="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Элисенваарское с/п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 xml:space="preserve">- воинское захоронение </w:t>
            </w:r>
            <w:r>
              <w:rPr>
                <w:b/>
                <w:sz w:val="20"/>
              </w:rPr>
              <w:t>№3</w:t>
            </w:r>
            <w:r>
              <w:rPr>
                <w:sz w:val="20"/>
              </w:rPr>
              <w:t>- братская могила п.Элисенваара</w:t>
            </w:r>
          </w:p>
        </w:tc>
        <w:tc>
          <w:tcPr>
            <w:tcW w:w="23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 Покраска металлического ограждения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2. покраска памятника13х6м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- серебрянка (краска) 4 шт. х 139 руб. = 556 руб.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- кровельная краска по шиферу 5 шт. х 420 руб. = 2100 руб.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Итого: 2656 руб. х 105%/100=2788 руб.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4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0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 xml:space="preserve">воинское захоронение </w:t>
            </w:r>
            <w:r>
              <w:rPr>
                <w:b/>
                <w:sz w:val="20"/>
              </w:rPr>
              <w:t>№7</w:t>
            </w:r>
            <w:r>
              <w:rPr>
                <w:sz w:val="20"/>
              </w:rPr>
              <w:t>- одиночная могила Макарова В.В. (Афганистан)</w:t>
            </w:r>
          </w:p>
        </w:tc>
        <w:tc>
          <w:tcPr>
            <w:tcW w:w="234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7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4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0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 xml:space="preserve">воинское захоронение </w:t>
            </w:r>
            <w:r>
              <w:rPr>
                <w:b/>
                <w:sz w:val="20"/>
              </w:rPr>
              <w:t>№9</w:t>
            </w:r>
            <w:r>
              <w:rPr>
                <w:sz w:val="20"/>
              </w:rPr>
              <w:t>- одиночная могила Петровского Д.А.</w:t>
            </w:r>
          </w:p>
        </w:tc>
        <w:tc>
          <w:tcPr>
            <w:tcW w:w="234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7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Мийнальское с/п</w:t>
            </w:r>
          </w:p>
        </w:tc>
        <w:tc>
          <w:tcPr>
            <w:tcW w:w="1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 xml:space="preserve">воинское захоронении </w:t>
            </w:r>
            <w:r>
              <w:rPr>
                <w:b/>
                <w:sz w:val="20"/>
              </w:rPr>
              <w:t>№2</w:t>
            </w:r>
            <w:r>
              <w:rPr>
                <w:sz w:val="20"/>
              </w:rPr>
              <w:t>- братская могила п. Ихала</w:t>
            </w:r>
          </w:p>
        </w:tc>
        <w:tc>
          <w:tcPr>
            <w:tcW w:w="2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После реконструкции, ремонт не требуется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val="1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 xml:space="preserve">воинское захоронение </w:t>
            </w:r>
            <w:r>
              <w:rPr>
                <w:b/>
                <w:sz w:val="20"/>
              </w:rPr>
              <w:t>№11</w:t>
            </w:r>
            <w:r>
              <w:rPr>
                <w:sz w:val="20"/>
              </w:rPr>
              <w:t>- одиночная могила Кузнецова Я.Г (дорога Ихала-Райвио-госграница)</w:t>
            </w:r>
          </w:p>
        </w:tc>
        <w:tc>
          <w:tcPr>
            <w:tcW w:w="2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</w:tr>
      <w:tr>
        <w:trPr>
          <w:trHeight w:val="1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 xml:space="preserve">Воинское захоронение </w:t>
            </w:r>
            <w:r>
              <w:rPr>
                <w:b/>
                <w:sz w:val="20"/>
              </w:rPr>
              <w:t>№12</w:t>
            </w:r>
            <w:r>
              <w:rPr>
                <w:sz w:val="20"/>
              </w:rPr>
              <w:t>- Братская могила п.Райвио3х7м</w:t>
            </w:r>
          </w:p>
        </w:tc>
        <w:tc>
          <w:tcPr>
            <w:tcW w:w="2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</w:tr>
      <w:tr>
        <w:trPr>
          <w:trHeight w:val="1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Куркиекское с/п</w:t>
            </w:r>
          </w:p>
        </w:tc>
        <w:tc>
          <w:tcPr>
            <w:tcW w:w="1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 xml:space="preserve">воинское захоронение </w:t>
            </w:r>
            <w:r>
              <w:rPr>
                <w:b/>
                <w:sz w:val="20"/>
              </w:rPr>
              <w:t>№4</w:t>
            </w:r>
            <w:r>
              <w:rPr>
                <w:sz w:val="20"/>
              </w:rPr>
              <w:t>-Братская могила п.Куркиеки</w:t>
            </w:r>
          </w:p>
        </w:tc>
        <w:tc>
          <w:tcPr>
            <w:tcW w:w="2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numPr>
                <w:ilvl w:val="0"/>
                <w:numId w:val="2"/>
              </w:numPr>
              <w:tabs>
                <w:tab w:val="clear" w:pos="720"/>
                <w:tab w:val="left" w:pos="136" w:leader="none"/>
                <w:tab w:val="left" w:pos="561" w:leader="none"/>
              </w:tabs>
              <w:ind w:left="136" w:right="0" w:hanging="136"/>
              <w:jc w:val="both"/>
              <w:rPr>
                <w:sz w:val="20"/>
              </w:rPr>
            </w:pPr>
            <w:r>
              <w:rPr>
                <w:sz w:val="20"/>
              </w:rPr>
              <w:t>Покраска памятника 2х2,5 м.</w:t>
            </w:r>
          </w:p>
          <w:p>
            <w:pPr>
              <w:pStyle w:val="Normal"/>
              <w:numPr>
                <w:ilvl w:val="0"/>
                <w:numId w:val="2"/>
              </w:numPr>
              <w:ind w:left="419" w:right="0" w:hanging="419"/>
              <w:jc w:val="both"/>
              <w:rPr>
                <w:sz w:val="20"/>
              </w:rPr>
            </w:pPr>
            <w:r>
              <w:rPr>
                <w:sz w:val="20"/>
              </w:rPr>
              <w:t>Шпаклевка швов на памятнике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-серебрянка (краска) 4 шт. х 139 руб. = 556 руб.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-краска бронза 0,5 4 шт. х 202 руб. = 808 руб.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-цемент 2 кг= 49 руб.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Итого: 1413 руб. х 105%/100= 1483 руб.</w:t>
            </w:r>
          </w:p>
        </w:tc>
      </w:tr>
      <w:tr>
        <w:trPr>
          <w:trHeight w:val="1" w:hRule="atLeast"/>
        </w:trPr>
        <w:tc>
          <w:tcPr>
            <w:tcW w:w="2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ИТОГО:</w:t>
            </w:r>
          </w:p>
        </w:tc>
        <w:tc>
          <w:tcPr>
            <w:tcW w:w="1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2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ind w:left="720" w:right="0" w:hanging="0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7,082</w:t>
            </w:r>
          </w:p>
        </w:tc>
      </w:tr>
    </w:tbl>
    <w:p>
      <w:pPr>
        <w:pStyle w:val="Normal"/>
        <w:jc w:val="center"/>
        <w:rPr>
          <w:sz w:val="20"/>
        </w:rPr>
      </w:pPr>
      <w:r>
        <w:rPr>
          <w:sz w:val="20"/>
        </w:rPr>
      </w:r>
    </w:p>
    <w:p>
      <w:pPr>
        <w:pStyle w:val="Normal"/>
        <w:jc w:val="both"/>
        <w:rPr>
          <w:sz w:val="20"/>
        </w:rPr>
      </w:pPr>
      <w:r>
        <w:rPr>
          <w:sz w:val="20"/>
        </w:rPr>
        <w:t>9. Поддержка и развитие художественно-творческой деятельности и реализация творческого потенциала жителей района.</w:t>
      </w:r>
    </w:p>
    <w:p>
      <w:pPr>
        <w:pStyle w:val="Normal"/>
        <w:jc w:val="both"/>
        <w:rPr>
          <w:sz w:val="20"/>
        </w:rPr>
      </w:pPr>
      <w:r>
        <w:rPr>
          <w:sz w:val="20"/>
        </w:rPr>
        <w:t>9.1.Районный (открытый) фестиваль творчества «Неделя музыки». Основными целями и задачами данного мероприятия являются:</w:t>
      </w:r>
    </w:p>
    <w:p>
      <w:pPr>
        <w:pStyle w:val="Normal"/>
        <w:jc w:val="both"/>
        <w:rPr>
          <w:sz w:val="20"/>
        </w:rPr>
      </w:pPr>
      <w:r>
        <w:rPr>
          <w:sz w:val="20"/>
        </w:rPr>
        <w:t>- содействие развитию художественного творчества, его поддержка и популяризация;</w:t>
      </w:r>
    </w:p>
    <w:p>
      <w:pPr>
        <w:pStyle w:val="Normal"/>
        <w:jc w:val="both"/>
        <w:rPr>
          <w:sz w:val="20"/>
        </w:rPr>
      </w:pPr>
      <w:r>
        <w:rPr>
          <w:sz w:val="20"/>
        </w:rPr>
        <w:t>- сохранение и развитие лучших традиций художественного искусства и культуры;</w:t>
      </w:r>
    </w:p>
    <w:p>
      <w:pPr>
        <w:pStyle w:val="Normal"/>
        <w:jc w:val="both"/>
        <w:rPr>
          <w:sz w:val="20"/>
        </w:rPr>
      </w:pPr>
      <w:r>
        <w:rPr>
          <w:sz w:val="20"/>
        </w:rPr>
        <w:t>- духовно-нравственное и культурное патриотическое воспитание населения города и района;</w:t>
      </w:r>
    </w:p>
    <w:p>
      <w:pPr>
        <w:pStyle w:val="Normal"/>
        <w:jc w:val="both"/>
        <w:rPr>
          <w:sz w:val="20"/>
        </w:rPr>
      </w:pPr>
      <w:r>
        <w:rPr>
          <w:sz w:val="20"/>
        </w:rPr>
        <w:t>- выявление и поддержка талантливых детско-юношеских коллективов, молодых, ярких исполнителей в различных номинациях и возрастных категориях;</w:t>
      </w:r>
    </w:p>
    <w:p>
      <w:pPr>
        <w:pStyle w:val="Normal"/>
        <w:jc w:val="both"/>
        <w:rPr>
          <w:sz w:val="20"/>
        </w:rPr>
      </w:pPr>
      <w:r>
        <w:rPr>
          <w:sz w:val="20"/>
        </w:rPr>
        <w:t>- повышение культурного уровня и интереса к культуре у населения Лахденпохского муниципального района.</w:t>
      </w:r>
    </w:p>
    <w:p>
      <w:pPr>
        <w:pStyle w:val="Normal"/>
        <w:jc w:val="center"/>
        <w:rPr>
          <w:b/>
          <w:b/>
          <w:sz w:val="20"/>
        </w:rPr>
      </w:pPr>
      <w:r>
        <w:rPr>
          <w:b/>
          <w:sz w:val="20"/>
        </w:rPr>
        <w:t>Смета на Районный (открытый) фестиваль творчества «Неделя музыки» 2018, 2019г.</w:t>
      </w:r>
    </w:p>
    <w:tbl>
      <w:tblPr>
        <w:tblW w:w="957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5066"/>
        <w:gridCol w:w="1417"/>
        <w:gridCol w:w="1683"/>
        <w:gridCol w:w="1404"/>
      </w:tblGrid>
      <w:tr>
        <w:trPr>
          <w:trHeight w:val="1" w:hRule="atLeast"/>
        </w:trPr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Наименование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Цена 1 шт., тыс.руб.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Итог, тыс.руб.</w:t>
            </w:r>
          </w:p>
        </w:tc>
      </w:tr>
      <w:tr>
        <w:trPr>
          <w:trHeight w:val="1" w:hRule="atLeast"/>
        </w:trPr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Дипломы для участников фестиваля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50 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0,02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>
        <w:trPr>
          <w:trHeight w:val="1" w:hRule="atLeast"/>
        </w:trPr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Благодарственные письма руководителям коллективов, преподавателям солистов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15 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0,02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</w:tr>
      <w:tr>
        <w:trPr>
          <w:trHeight w:val="1" w:hRule="atLeast"/>
        </w:trPr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Благодарственные письма организациям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0,02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</w:tr>
      <w:tr>
        <w:trPr>
          <w:trHeight w:val="1" w:hRule="atLeast"/>
        </w:trPr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Памятные подарки для участников фестиваля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>
        <w:trPr>
          <w:trHeight w:val="1" w:hRule="atLeast"/>
        </w:trPr>
        <w:tc>
          <w:tcPr>
            <w:tcW w:w="8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         </w:t>
            </w:r>
            <w:r>
              <w:rPr>
                <w:sz w:val="20"/>
              </w:rPr>
              <w:t>Итого: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11,5</w:t>
            </w:r>
          </w:p>
        </w:tc>
      </w:tr>
    </w:tbl>
    <w:p>
      <w:pPr>
        <w:pStyle w:val="Normal"/>
        <w:jc w:val="both"/>
        <w:rPr>
          <w:b/>
          <w:b/>
          <w:sz w:val="20"/>
        </w:rPr>
      </w:pPr>
      <w:r>
        <w:rPr>
          <w:b/>
          <w:sz w:val="20"/>
        </w:rPr>
        <w:t xml:space="preserve">  </w:t>
      </w:r>
    </w:p>
    <w:p>
      <w:pPr>
        <w:pStyle w:val="Normal"/>
        <w:jc w:val="center"/>
        <w:rPr>
          <w:b/>
          <w:b/>
          <w:sz w:val="20"/>
        </w:rPr>
      </w:pPr>
      <w:r>
        <w:rPr>
          <w:b/>
          <w:sz w:val="20"/>
        </w:rPr>
        <w:t>Смета на Районный (открытый) фестиваль творчества «Неделя музыки» 2020, 2021г.</w:t>
      </w:r>
    </w:p>
    <w:tbl>
      <w:tblPr>
        <w:tblW w:w="957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5066"/>
        <w:gridCol w:w="1417"/>
        <w:gridCol w:w="1683"/>
        <w:gridCol w:w="1404"/>
      </w:tblGrid>
      <w:tr>
        <w:trPr>
          <w:trHeight w:val="1" w:hRule="atLeast"/>
        </w:trPr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Наименование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Цена 1 шт., тыс.руб.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Итог, тыс.руб.</w:t>
            </w:r>
          </w:p>
        </w:tc>
      </w:tr>
      <w:tr>
        <w:trPr>
          <w:trHeight w:val="1" w:hRule="atLeast"/>
        </w:trPr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Дипломы для участников фестиваля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50 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0,02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>
        <w:trPr>
          <w:trHeight w:val="1" w:hRule="atLeast"/>
        </w:trPr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Благодарственные письма руководителям коллективов, преподавателям солистов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20 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0,02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</w:tr>
      <w:tr>
        <w:trPr>
          <w:trHeight w:val="1" w:hRule="atLeast"/>
        </w:trPr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Благодарственные письма организациям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0,02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</w:tr>
      <w:tr>
        <w:trPr>
          <w:trHeight w:val="1" w:hRule="atLeast"/>
        </w:trPr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Памятные подарки для участников фестиваля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0,25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12,5</w:t>
            </w:r>
          </w:p>
        </w:tc>
      </w:tr>
      <w:tr>
        <w:trPr>
          <w:trHeight w:val="1" w:hRule="atLeast"/>
        </w:trPr>
        <w:tc>
          <w:tcPr>
            <w:tcW w:w="8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         </w:t>
            </w:r>
            <w:r>
              <w:rPr>
                <w:sz w:val="20"/>
              </w:rPr>
              <w:t>Итого: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14,1</w:t>
            </w:r>
          </w:p>
        </w:tc>
      </w:tr>
    </w:tbl>
    <w:p>
      <w:pPr>
        <w:pStyle w:val="Normal"/>
        <w:jc w:val="both"/>
        <w:rPr>
          <w:sz w:val="20"/>
        </w:rPr>
      </w:pPr>
      <w:r>
        <w:rPr>
          <w:sz w:val="20"/>
        </w:rPr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709" w:leader="none"/>
        </w:tabs>
        <w:ind w:left="0" w:right="0" w:hanging="0"/>
        <w:jc w:val="both"/>
        <w:rPr>
          <w:sz w:val="20"/>
        </w:rPr>
      </w:pPr>
      <w:r>
        <w:rPr>
          <w:sz w:val="20"/>
        </w:rPr>
        <w:t>Выставка работ художников Лахденпохского муниципального района в рамках мероприятий Престольного праздника, посв.главной церкви Лахденпохья – Храму Пророка Илии.</w:t>
      </w:r>
    </w:p>
    <w:p>
      <w:pPr>
        <w:pStyle w:val="Normal"/>
        <w:tabs>
          <w:tab w:val="clear" w:pos="720"/>
          <w:tab w:val="left" w:pos="709" w:leader="none"/>
        </w:tabs>
        <w:jc w:val="both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>Основными целями и задачами данного мероприятия являются:</w:t>
      </w:r>
    </w:p>
    <w:p>
      <w:pPr>
        <w:pStyle w:val="Normal"/>
        <w:tabs>
          <w:tab w:val="clear" w:pos="720"/>
          <w:tab w:val="left" w:pos="993" w:leader="none"/>
        </w:tabs>
        <w:jc w:val="both"/>
        <w:rPr>
          <w:sz w:val="20"/>
        </w:rPr>
      </w:pPr>
      <w:r>
        <w:rPr>
          <w:sz w:val="20"/>
        </w:rPr>
        <w:t>-  содействие в развитии культуры г. Лахденпохья и Лахденпохского района;</w:t>
      </w:r>
    </w:p>
    <w:p>
      <w:pPr>
        <w:pStyle w:val="Normal"/>
        <w:rPr>
          <w:sz w:val="20"/>
        </w:rPr>
      </w:pPr>
      <w:r>
        <w:rPr>
          <w:sz w:val="20"/>
        </w:rPr>
        <w:t>-  поддержка имиджа г. Лахденпохья и Лахденпохского района;</w:t>
      </w:r>
    </w:p>
    <w:p>
      <w:pPr>
        <w:pStyle w:val="Normal"/>
        <w:rPr>
          <w:sz w:val="20"/>
        </w:rPr>
      </w:pPr>
      <w:r>
        <w:rPr>
          <w:sz w:val="20"/>
        </w:rPr>
        <w:t>-  выявление и поддержка перспективных художников г. Лахденпохья и Лахденпохского района;</w:t>
      </w:r>
    </w:p>
    <w:p>
      <w:pPr>
        <w:pStyle w:val="Normal"/>
        <w:rPr/>
      </w:pPr>
      <w:r>
        <w:rPr>
          <w:sz w:val="20"/>
        </w:rPr>
        <w:t>-  привлечение широкого общественного интереса к изобразительному творчеству художников г. Лахденпохья и Лахденпохского района</w:t>
      </w:r>
      <w:r>
        <w:rPr>
          <w:rFonts w:eastAsia="Calibri" w:cs="Calibri" w:ascii="Calibri" w:hAnsi="Calibri"/>
          <w:sz w:val="20"/>
        </w:rPr>
        <w:t>.</w:t>
      </w:r>
    </w:p>
    <w:p>
      <w:pPr>
        <w:pStyle w:val="Normal"/>
        <w:tabs>
          <w:tab w:val="clear" w:pos="720"/>
          <w:tab w:val="left" w:pos="993" w:leader="none"/>
        </w:tabs>
        <w:jc w:val="center"/>
        <w:rPr>
          <w:b/>
          <w:b/>
          <w:sz w:val="20"/>
        </w:rPr>
      </w:pPr>
      <w:r>
        <w:rPr>
          <w:b/>
          <w:sz w:val="20"/>
        </w:rPr>
        <w:t>Смета 2018, 2019 г.</w:t>
      </w:r>
    </w:p>
    <w:tbl>
      <w:tblPr>
        <w:tblW w:w="957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5066"/>
        <w:gridCol w:w="1417"/>
        <w:gridCol w:w="1683"/>
        <w:gridCol w:w="1404"/>
      </w:tblGrid>
      <w:tr>
        <w:trPr>
          <w:trHeight w:val="1" w:hRule="atLeast"/>
        </w:trPr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Наименование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Цена 1 шт., тыс.руб.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Итог, тыс.руб.</w:t>
            </w:r>
          </w:p>
        </w:tc>
      </w:tr>
      <w:tr>
        <w:trPr>
          <w:trHeight w:val="1" w:hRule="atLeast"/>
        </w:trPr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Реклама, художественное оформление выставки: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- ватман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- гуашь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- пригласительные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3 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25 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0,03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0,2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0,02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0,09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0,2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</w:tr>
      <w:tr>
        <w:trPr>
          <w:trHeight w:val="1" w:hRule="atLeast"/>
        </w:trPr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Праздничный сладкий фуршет для всех посетителей во время открытия выставки: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- кофе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- чай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- конфеты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- печенье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1 пачка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2 пачки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3 кг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4 уп.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0,15 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0,08 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0,15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0,13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0,15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0,16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0,45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0,52</w:t>
            </w:r>
          </w:p>
        </w:tc>
      </w:tr>
      <w:tr>
        <w:trPr>
          <w:trHeight w:val="1" w:hRule="atLeast"/>
        </w:trPr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Благодарственные письма участникам выставки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0,05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0,75</w:t>
            </w:r>
          </w:p>
        </w:tc>
      </w:tr>
      <w:tr>
        <w:trPr>
          <w:trHeight w:val="1" w:hRule="atLeast"/>
        </w:trPr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Памятные подарки для участников выставки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4,5</w:t>
            </w:r>
          </w:p>
        </w:tc>
      </w:tr>
      <w:tr>
        <w:trPr>
          <w:trHeight w:val="1" w:hRule="atLeast"/>
        </w:trPr>
        <w:tc>
          <w:tcPr>
            <w:tcW w:w="8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            </w:t>
            </w:r>
            <w:r>
              <w:rPr>
                <w:sz w:val="20"/>
              </w:rPr>
              <w:t xml:space="preserve">Итого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7,32</w:t>
            </w:r>
          </w:p>
        </w:tc>
      </w:tr>
    </w:tbl>
    <w:p>
      <w:pPr>
        <w:pStyle w:val="Normal"/>
        <w:tabs>
          <w:tab w:val="clear" w:pos="720"/>
          <w:tab w:val="left" w:pos="993" w:leader="none"/>
        </w:tabs>
        <w:jc w:val="center"/>
        <w:rPr>
          <w:b/>
          <w:b/>
          <w:sz w:val="20"/>
        </w:rPr>
      </w:pPr>
      <w:r>
        <w:rPr>
          <w:b/>
          <w:sz w:val="20"/>
        </w:rPr>
        <w:t>Смета 2020, 2021 г.</w:t>
      </w:r>
    </w:p>
    <w:tbl>
      <w:tblPr>
        <w:tblW w:w="957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5066"/>
        <w:gridCol w:w="1417"/>
        <w:gridCol w:w="1683"/>
        <w:gridCol w:w="1404"/>
      </w:tblGrid>
      <w:tr>
        <w:trPr>
          <w:trHeight w:val="1" w:hRule="atLeast"/>
        </w:trPr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Наименование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Цена 1 шт., тыс.руб.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Стоимость </w:t>
            </w:r>
          </w:p>
        </w:tc>
      </w:tr>
      <w:tr>
        <w:trPr>
          <w:trHeight w:val="1" w:hRule="atLeast"/>
        </w:trPr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Реклама, художественное оформление выставки: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- ватман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- гуашь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- пригласительные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3 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25 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0,03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0,2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0,02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0,09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0,2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</w:tr>
      <w:tr>
        <w:trPr>
          <w:trHeight w:val="1" w:hRule="atLeast"/>
        </w:trPr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Праздничный сладкий фуршет для всех посетителей во время открытия выставки: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- кофе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- чай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- конфеты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- печенье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1 пачка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2 пачки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3 кг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4 уп.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0,17 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0,08 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0,18 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0,12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0,17 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0,16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0,54 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0,48 </w:t>
            </w:r>
          </w:p>
        </w:tc>
      </w:tr>
      <w:tr>
        <w:trPr>
          <w:trHeight w:val="1" w:hRule="atLeast"/>
        </w:trPr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Благодарственные письма участникам выставки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0,75</w:t>
            </w:r>
          </w:p>
        </w:tc>
      </w:tr>
      <w:tr>
        <w:trPr>
          <w:trHeight w:val="1" w:hRule="atLeast"/>
        </w:trPr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Памятные подарки для участников выставки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0,35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5,25</w:t>
            </w:r>
          </w:p>
        </w:tc>
      </w:tr>
      <w:tr>
        <w:trPr>
          <w:trHeight w:val="1" w:hRule="atLeast"/>
        </w:trPr>
        <w:tc>
          <w:tcPr>
            <w:tcW w:w="8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            </w:t>
            </w:r>
            <w:r>
              <w:rPr>
                <w:sz w:val="20"/>
              </w:rPr>
              <w:t xml:space="preserve">Итого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8,1</w:t>
            </w:r>
          </w:p>
        </w:tc>
      </w:tr>
    </w:tbl>
    <w:p>
      <w:pPr>
        <w:pStyle w:val="Normal"/>
        <w:jc w:val="both"/>
        <w:rPr>
          <w:sz w:val="20"/>
        </w:rPr>
      </w:pPr>
      <w:r>
        <w:rPr>
          <w:sz w:val="20"/>
        </w:rPr>
      </w:r>
    </w:p>
    <w:p>
      <w:pPr>
        <w:pStyle w:val="Normal"/>
        <w:jc w:val="both"/>
        <w:rPr>
          <w:sz w:val="20"/>
        </w:rPr>
      </w:pPr>
      <w:r>
        <w:rPr>
          <w:sz w:val="20"/>
        </w:rPr>
        <w:t>9.3 Районный фестиваль – конкурс литературы Карелии «Верный друг» им. А.К. Маркова</w:t>
      </w:r>
    </w:p>
    <w:p>
      <w:pPr>
        <w:pStyle w:val="Normal"/>
        <w:spacing w:lineRule="auto" w:line="276"/>
        <w:jc w:val="both"/>
        <w:rPr>
          <w:b/>
          <w:b/>
          <w:sz w:val="20"/>
        </w:rPr>
      </w:pPr>
      <w:r>
        <w:rPr>
          <w:b/>
          <w:sz w:val="20"/>
        </w:rPr>
        <w:t>Смета на 2018, 2019 г.</w:t>
      </w:r>
    </w:p>
    <w:tbl>
      <w:tblPr>
        <w:tblW w:w="9724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2431"/>
        <w:gridCol w:w="2431"/>
        <w:gridCol w:w="2431"/>
        <w:gridCol w:w="2430"/>
      </w:tblGrid>
      <w:tr>
        <w:trPr>
          <w:trHeight w:val="199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Кол-во призов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цена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Стоимость</w:t>
            </w:r>
          </w:p>
        </w:tc>
      </w:tr>
      <w:tr>
        <w:trPr>
          <w:trHeight w:val="223" w:hRule="atLeast"/>
        </w:trPr>
        <w:tc>
          <w:tcPr>
            <w:tcW w:w="97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Стихи карельских авторов</w:t>
            </w:r>
          </w:p>
        </w:tc>
      </w:tr>
      <w:tr>
        <w:trPr>
          <w:trHeight w:val="199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</w:tr>
      <w:tr>
        <w:trPr>
          <w:trHeight w:val="199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750</w:t>
            </w:r>
          </w:p>
        </w:tc>
      </w:tr>
      <w:tr>
        <w:trPr>
          <w:trHeight w:val="266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3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</w:tr>
      <w:tr>
        <w:trPr>
          <w:trHeight w:val="252" w:hRule="atLeast"/>
        </w:trPr>
        <w:tc>
          <w:tcPr>
            <w:tcW w:w="97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Стихи собственного сочинения</w:t>
            </w:r>
          </w:p>
        </w:tc>
      </w:tr>
      <w:tr>
        <w:trPr>
          <w:trHeight w:val="199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</w:tr>
      <w:tr>
        <w:trPr>
          <w:trHeight w:val="199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750</w:t>
            </w:r>
          </w:p>
        </w:tc>
      </w:tr>
      <w:tr>
        <w:trPr>
          <w:trHeight w:val="266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3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</w:tr>
      <w:tr>
        <w:trPr>
          <w:trHeight w:val="252" w:hRule="atLeast"/>
        </w:trPr>
        <w:tc>
          <w:tcPr>
            <w:tcW w:w="97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Исслед. деятельн.</w:t>
            </w:r>
          </w:p>
        </w:tc>
      </w:tr>
      <w:tr>
        <w:trPr>
          <w:trHeight w:val="199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</w:tr>
      <w:tr>
        <w:trPr>
          <w:trHeight w:val="199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750</w:t>
            </w:r>
          </w:p>
        </w:tc>
      </w:tr>
      <w:tr>
        <w:trPr>
          <w:trHeight w:val="266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3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</w:tr>
      <w:tr>
        <w:trPr>
          <w:trHeight w:val="252" w:hRule="atLeast"/>
        </w:trPr>
        <w:tc>
          <w:tcPr>
            <w:tcW w:w="97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 xml:space="preserve">Творческ. деятель. </w:t>
            </w:r>
          </w:p>
        </w:tc>
      </w:tr>
      <w:tr>
        <w:trPr>
          <w:trHeight w:val="199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</w:tr>
      <w:tr>
        <w:trPr>
          <w:trHeight w:val="199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750</w:t>
            </w:r>
          </w:p>
        </w:tc>
      </w:tr>
      <w:tr>
        <w:trPr>
          <w:trHeight w:val="266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3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</w:tr>
      <w:tr>
        <w:trPr>
          <w:trHeight w:val="252" w:hRule="atLeast"/>
        </w:trPr>
        <w:tc>
          <w:tcPr>
            <w:tcW w:w="97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Авторское музыкальное сочинение</w:t>
            </w:r>
          </w:p>
        </w:tc>
      </w:tr>
      <w:tr>
        <w:trPr>
          <w:trHeight w:val="266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 группа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</w:tr>
      <w:tr>
        <w:trPr>
          <w:trHeight w:val="199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</w:tr>
      <w:tr>
        <w:trPr>
          <w:trHeight w:val="199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</w:tr>
      <w:tr>
        <w:trPr>
          <w:trHeight w:val="266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3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>
        <w:trPr>
          <w:trHeight w:val="266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3 группа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</w:tr>
      <w:tr>
        <w:trPr>
          <w:trHeight w:val="279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</w:tr>
      <w:tr>
        <w:trPr>
          <w:trHeight w:val="319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</w:tr>
      <w:tr>
        <w:trPr>
          <w:trHeight w:val="266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3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>
        <w:trPr>
          <w:trHeight w:val="80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66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9900</w:t>
            </w:r>
          </w:p>
        </w:tc>
      </w:tr>
    </w:tbl>
    <w:p>
      <w:pPr>
        <w:pStyle w:val="Normal"/>
        <w:spacing w:lineRule="auto" w:line="276"/>
        <w:jc w:val="center"/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spacing w:lineRule="auto" w:line="276"/>
        <w:jc w:val="both"/>
        <w:rPr>
          <w:b/>
          <w:b/>
          <w:sz w:val="20"/>
        </w:rPr>
      </w:pPr>
      <w:r>
        <w:rPr>
          <w:b/>
          <w:sz w:val="20"/>
        </w:rPr>
        <w:t>Смета на 2020, 2021 г.</w:t>
      </w:r>
    </w:p>
    <w:tbl>
      <w:tblPr>
        <w:tblW w:w="9724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2431"/>
        <w:gridCol w:w="2431"/>
        <w:gridCol w:w="2431"/>
        <w:gridCol w:w="2430"/>
      </w:tblGrid>
      <w:tr>
        <w:trPr>
          <w:trHeight w:val="199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Кол-во призов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цена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Стоимость</w:t>
            </w:r>
          </w:p>
        </w:tc>
      </w:tr>
      <w:tr>
        <w:trPr>
          <w:trHeight w:val="281" w:hRule="atLeast"/>
        </w:trPr>
        <w:tc>
          <w:tcPr>
            <w:tcW w:w="97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Стихи карельских авторов</w:t>
            </w:r>
          </w:p>
        </w:tc>
      </w:tr>
      <w:tr>
        <w:trPr>
          <w:trHeight w:val="199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1250</w:t>
            </w:r>
          </w:p>
        </w:tc>
      </w:tr>
      <w:tr>
        <w:trPr>
          <w:trHeight w:val="199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</w:tr>
      <w:tr>
        <w:trPr>
          <w:trHeight w:val="266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3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750</w:t>
            </w:r>
          </w:p>
        </w:tc>
      </w:tr>
      <w:tr>
        <w:trPr>
          <w:trHeight w:val="252" w:hRule="atLeast"/>
        </w:trPr>
        <w:tc>
          <w:tcPr>
            <w:tcW w:w="97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Стихи собственного сочинения</w:t>
            </w:r>
          </w:p>
        </w:tc>
      </w:tr>
      <w:tr>
        <w:trPr>
          <w:trHeight w:val="199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1250</w:t>
            </w:r>
          </w:p>
        </w:tc>
      </w:tr>
      <w:tr>
        <w:trPr>
          <w:trHeight w:val="199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</w:tr>
      <w:tr>
        <w:trPr>
          <w:trHeight w:val="266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3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750</w:t>
            </w:r>
          </w:p>
        </w:tc>
      </w:tr>
      <w:tr>
        <w:trPr>
          <w:trHeight w:val="252" w:hRule="atLeast"/>
        </w:trPr>
        <w:tc>
          <w:tcPr>
            <w:tcW w:w="97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Исслед. деятельн.</w:t>
            </w:r>
          </w:p>
        </w:tc>
      </w:tr>
      <w:tr>
        <w:trPr>
          <w:trHeight w:val="199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1250</w:t>
            </w:r>
          </w:p>
        </w:tc>
      </w:tr>
      <w:tr>
        <w:trPr>
          <w:trHeight w:val="199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</w:tr>
      <w:tr>
        <w:trPr>
          <w:trHeight w:val="266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3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750</w:t>
            </w:r>
          </w:p>
        </w:tc>
      </w:tr>
      <w:tr>
        <w:trPr>
          <w:trHeight w:val="252" w:hRule="atLeast"/>
        </w:trPr>
        <w:tc>
          <w:tcPr>
            <w:tcW w:w="97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 xml:space="preserve">Творческ. деятель. </w:t>
            </w:r>
          </w:p>
        </w:tc>
      </w:tr>
      <w:tr>
        <w:trPr>
          <w:trHeight w:val="199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1250</w:t>
            </w:r>
          </w:p>
        </w:tc>
      </w:tr>
      <w:tr>
        <w:trPr>
          <w:trHeight w:val="199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</w:tr>
      <w:tr>
        <w:trPr>
          <w:trHeight w:val="266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3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750</w:t>
            </w:r>
          </w:p>
        </w:tc>
      </w:tr>
      <w:tr>
        <w:trPr>
          <w:trHeight w:val="252" w:hRule="atLeast"/>
        </w:trPr>
        <w:tc>
          <w:tcPr>
            <w:tcW w:w="97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Авторское музыкальное сочинение</w:t>
            </w:r>
          </w:p>
        </w:tc>
      </w:tr>
      <w:tr>
        <w:trPr>
          <w:trHeight w:val="266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 группа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</w:tr>
      <w:tr>
        <w:trPr>
          <w:trHeight w:val="199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</w:tr>
      <w:tr>
        <w:trPr>
          <w:trHeight w:val="199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</w:tr>
      <w:tr>
        <w:trPr>
          <w:trHeight w:val="266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3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</w:tr>
      <w:tr>
        <w:trPr>
          <w:trHeight w:val="266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3 группа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</w:tr>
      <w:tr>
        <w:trPr>
          <w:trHeight w:val="279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</w:tr>
      <w:tr>
        <w:trPr>
          <w:trHeight w:val="319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</w:tr>
      <w:tr>
        <w:trPr>
          <w:trHeight w:val="266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3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</w:tr>
      <w:tr>
        <w:trPr>
          <w:trHeight w:val="80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66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13,2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900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roman"/>
    <w:pitch w:val="variable"/>
  </w:font>
  <w:font w:name="TimesNewRomanPSMT">
    <w:charset w:val="cc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2">
    <w:lvl w:ilvl="0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3">
    <w:lvl w:ilvl="0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4">
    <w:lvl w:ilvl="0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5">
    <w:lvl w:ilvl="0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6">
    <w:lvl w:ilvl="0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7">
    <w:lvl w:ilvl="0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8">
    <w:lvl w:ilvl="0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9">
    <w:lvl w:ilvl="0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rFonts w:cs="Symbol"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10">
    <w:lvl w:ilvl="0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b/>
        <w:rFonts w:cs="Symbol"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11">
    <w:lvl w:ilvl="0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b/>
        <w:rFonts w:cs="Symbol"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12">
    <w:lvl w:ilvl="0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b/>
        <w:rFonts w:cs="Symbol"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b w:val="false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1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w="http://schemas.openxmlformats.org/wordprocessingml/2006/main">
  <w:zoom w:percent="10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0"/>
        <w:szCs w:val="24"/>
        <w:lang w:val="ru-RU" w:eastAsia="zh-CN" w:bidi="ar-SA"/>
      </w:rPr>
    </w:rPrDefault>
    <w:pPrDefault>
      <w:pPr/>
    </w:pPrDefault>
  </w:docDefaults>
  <w:style w:type="paragraph" w:styleId="Normal">
    <w:name w:val="Normal"/>
    <w:qFormat/>
    <w:pPr>
      <w:widowControl/>
      <w:overflowPunct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character" w:styleId="DefaultParagraphFont">
    <w:name w:val="Default Paragraph Font"/>
    <w:qFormat/>
    <w:rPr/>
  </w:style>
  <w:style w:type="character" w:styleId="Style14">
    <w:name w:val="Символ концевой сноски"/>
    <w:qFormat/>
    <w:rPr/>
  </w:style>
  <w:style w:type="character" w:styleId="ListLabel1">
    <w:name w:val="ListLabel 1"/>
    <w:qFormat/>
    <w:rPr>
      <w:rFonts w:cs="Symbol"/>
      <w:sz w:val="20"/>
    </w:rPr>
  </w:style>
  <w:style w:type="character" w:styleId="ListLabel2">
    <w:name w:val="ListLabel 2"/>
    <w:qFormat/>
    <w:rPr>
      <w:rFonts w:cs="Symbol"/>
      <w:sz w:val="20"/>
    </w:rPr>
  </w:style>
  <w:style w:type="character" w:styleId="ListLabel3">
    <w:name w:val="ListLabel 3"/>
    <w:qFormat/>
    <w:rPr>
      <w:rFonts w:cs="Symbol"/>
      <w:sz w:val="20"/>
    </w:rPr>
  </w:style>
  <w:style w:type="character" w:styleId="ListLabel4">
    <w:name w:val="ListLabel 4"/>
    <w:qFormat/>
    <w:rPr>
      <w:rFonts w:cs="Symbol"/>
      <w:sz w:val="20"/>
    </w:rPr>
  </w:style>
  <w:style w:type="character" w:styleId="ListLabel5">
    <w:name w:val="ListLabel 5"/>
    <w:qFormat/>
    <w:rPr>
      <w:rFonts w:cs="Symbol"/>
      <w:sz w:val="20"/>
    </w:rPr>
  </w:style>
  <w:style w:type="character" w:styleId="ListLabel6">
    <w:name w:val="ListLabel 6"/>
    <w:qFormat/>
    <w:rPr>
      <w:rFonts w:cs="Symbol"/>
      <w:sz w:val="20"/>
    </w:rPr>
  </w:style>
  <w:style w:type="character" w:styleId="ListLabel7">
    <w:name w:val="ListLabel 7"/>
    <w:qFormat/>
    <w:rPr>
      <w:rFonts w:cs="Symbol"/>
      <w:sz w:val="20"/>
    </w:rPr>
  </w:style>
  <w:style w:type="character" w:styleId="ListLabel8">
    <w:name w:val="ListLabel 8"/>
    <w:qFormat/>
    <w:rPr>
      <w:rFonts w:cs="Symbol"/>
      <w:sz w:val="20"/>
    </w:rPr>
  </w:style>
  <w:style w:type="character" w:styleId="ListLabel9">
    <w:name w:val="ListLabel 9"/>
    <w:qFormat/>
    <w:rPr>
      <w:rFonts w:cs="Symbol"/>
    </w:rPr>
  </w:style>
  <w:style w:type="character" w:styleId="ListLabel10">
    <w:name w:val="ListLabel 10"/>
    <w:qFormat/>
    <w:rPr>
      <w:rFonts w:cs="Symbol"/>
      <w:b/>
    </w:rPr>
  </w:style>
  <w:style w:type="character" w:styleId="ListLabel11">
    <w:name w:val="ListLabel 11"/>
    <w:qFormat/>
    <w:rPr>
      <w:rFonts w:cs="Symbol"/>
      <w:b/>
    </w:rPr>
  </w:style>
  <w:style w:type="character" w:styleId="ListLabel12">
    <w:name w:val="ListLabel 12"/>
    <w:qFormat/>
    <w:rPr>
      <w:rFonts w:cs="Symbol"/>
    </w:rPr>
  </w:style>
  <w:style w:type="character" w:styleId="ListLabel13">
    <w:name w:val="ListLabel 13"/>
    <w:qFormat/>
    <w:rPr>
      <w:rFonts w:cs="Symbol"/>
      <w:b/>
    </w:rPr>
  </w:style>
  <w:style w:type="character" w:styleId="ListLabel14">
    <w:name w:val="ListLabel 14"/>
    <w:qFormat/>
    <w:rPr>
      <w:rFonts w:cs="Symbol"/>
      <w:b/>
    </w:rPr>
  </w:style>
  <w:style w:type="character" w:styleId="ListLabel15">
    <w:name w:val="ListLabel 15"/>
    <w:qFormat/>
    <w:rPr>
      <w:rFonts w:cs="Symbol"/>
      <w:b/>
    </w:rPr>
  </w:style>
  <w:style w:type="character" w:styleId="ListLabel16">
    <w:name w:val="ListLabel 16"/>
    <w:qFormat/>
    <w:rPr>
      <w:rFonts w:cs="Symbol"/>
      <w:b/>
    </w:rPr>
  </w:style>
  <w:style w:type="character" w:styleId="ListLabel17">
    <w:name w:val="ListLabel 17"/>
    <w:qFormat/>
    <w:rPr>
      <w:rFonts w:cs="Symbol"/>
      <w:b/>
    </w:rPr>
  </w:style>
  <w:style w:type="character" w:styleId="ListLabel18">
    <w:name w:val="ListLabel 18"/>
    <w:qFormat/>
    <w:rPr>
      <w:rFonts w:cs="Symbol"/>
    </w:rPr>
  </w:style>
  <w:style w:type="character" w:styleId="ListLabel19">
    <w:name w:val="ListLabel 19"/>
    <w:qFormat/>
    <w:rPr>
      <w:rFonts w:cs="Symbol"/>
      <w:b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Symbol"/>
      <w:b/>
    </w:rPr>
  </w:style>
  <w:style w:type="character" w:styleId="ListLabel22">
    <w:name w:val="ListLabel 22"/>
    <w:qFormat/>
    <w:rPr>
      <w:rFonts w:cs="Symbol"/>
      <w:b/>
    </w:rPr>
  </w:style>
  <w:style w:type="character" w:styleId="ListLabel23">
    <w:name w:val="ListLabel 23"/>
    <w:qFormat/>
    <w:rPr>
      <w:rFonts w:cs="Symbol"/>
    </w:rPr>
  </w:style>
  <w:style w:type="character" w:styleId="ListLabel24">
    <w:name w:val="ListLabel 24"/>
    <w:qFormat/>
    <w:rPr>
      <w:rFonts w:cs="Symbol"/>
    </w:rPr>
  </w:style>
  <w:style w:type="character" w:styleId="ListLabel25">
    <w:name w:val="ListLabel 25"/>
    <w:qFormat/>
    <w:rPr>
      <w:rFonts w:cs="Symbol"/>
    </w:rPr>
  </w:style>
  <w:style w:type="character" w:styleId="ListLabel26">
    <w:name w:val="ListLabel 26"/>
    <w:qFormat/>
    <w:rPr>
      <w:rFonts w:cs="Symbol"/>
      <w:b/>
    </w:rPr>
  </w:style>
  <w:style w:type="character" w:styleId="ListLabel27">
    <w:name w:val="ListLabel 27"/>
    <w:qFormat/>
    <w:rPr>
      <w:rFonts w:cs="Symbol"/>
    </w:rPr>
  </w:style>
  <w:style w:type="character" w:styleId="ListLabel28">
    <w:name w:val="ListLabel 28"/>
    <w:qFormat/>
    <w:rPr>
      <w:rFonts w:cs="Symbol"/>
      <w:b/>
    </w:rPr>
  </w:style>
  <w:style w:type="character" w:styleId="ListLabel29">
    <w:name w:val="ListLabel 29"/>
    <w:qFormat/>
    <w:rPr>
      <w:rFonts w:cs="Symbol"/>
      <w:b/>
    </w:rPr>
  </w:style>
  <w:style w:type="character" w:styleId="ListLabel30">
    <w:name w:val="ListLabel 30"/>
    <w:qFormat/>
    <w:rPr>
      <w:rFonts w:cs="Symbol"/>
      <w:b/>
    </w:rPr>
  </w:style>
  <w:style w:type="character" w:styleId="ListLabel31">
    <w:name w:val="ListLabel 31"/>
    <w:qFormat/>
    <w:rPr>
      <w:rFonts w:cs="Symbol"/>
      <w:b/>
    </w:rPr>
  </w:style>
  <w:style w:type="character" w:styleId="ListLabel32">
    <w:name w:val="ListLabel 32"/>
    <w:qFormat/>
    <w:rPr>
      <w:rFonts w:cs="Symbol"/>
      <w:b/>
    </w:rPr>
  </w:style>
  <w:style w:type="character" w:styleId="ListLabel33">
    <w:name w:val="ListLabel 33"/>
    <w:qFormat/>
    <w:rPr>
      <w:rFonts w:cs="Symbol"/>
      <w:b/>
    </w:rPr>
  </w:style>
  <w:style w:type="character" w:styleId="ListLabel34">
    <w:name w:val="ListLabel 34"/>
    <w:qFormat/>
    <w:rPr>
      <w:rFonts w:cs="Symbol"/>
    </w:rPr>
  </w:style>
  <w:style w:type="character" w:styleId="ListLabel35">
    <w:name w:val="ListLabel 35"/>
    <w:qFormat/>
    <w:rPr>
      <w:rFonts w:cs="Symbol"/>
      <w:b/>
    </w:rPr>
  </w:style>
  <w:style w:type="character" w:styleId="ListLabel36">
    <w:name w:val="ListLabel 36"/>
    <w:qFormat/>
    <w:rPr>
      <w:rFonts w:cs="Symbol"/>
    </w:rPr>
  </w:style>
  <w:style w:type="character" w:styleId="ListLabel37">
    <w:name w:val="ListLabel 37"/>
    <w:qFormat/>
    <w:rPr>
      <w:rFonts w:cs="Symbol"/>
    </w:rPr>
  </w:style>
  <w:style w:type="character" w:styleId="ListLabel38">
    <w:name w:val="ListLabel 38"/>
    <w:qFormat/>
    <w:rPr>
      <w:rFonts w:cs="Symbol"/>
    </w:rPr>
  </w:style>
  <w:style w:type="character" w:styleId="Style15">
    <w:name w:val="Символ нумерации"/>
    <w:qFormat/>
    <w:rPr/>
  </w:style>
  <w:style w:type="character" w:styleId="ListLabel39">
    <w:name w:val="ListLabel 39"/>
    <w:qFormat/>
    <w:rPr>
      <w:rFonts w:cs="Symbol"/>
      <w:sz w:val="20"/>
    </w:rPr>
  </w:style>
  <w:style w:type="character" w:styleId="ListLabel40">
    <w:name w:val="ListLabel 40"/>
    <w:qFormat/>
    <w:rPr>
      <w:rFonts w:cs="Symbol"/>
      <w:sz w:val="20"/>
    </w:rPr>
  </w:style>
  <w:style w:type="character" w:styleId="ListLabel41">
    <w:name w:val="ListLabel 41"/>
    <w:qFormat/>
    <w:rPr>
      <w:rFonts w:cs="Symbol"/>
      <w:sz w:val="20"/>
    </w:rPr>
  </w:style>
  <w:style w:type="character" w:styleId="ListLabel42">
    <w:name w:val="ListLabel 42"/>
    <w:qFormat/>
    <w:rPr>
      <w:rFonts w:cs="Symbol"/>
      <w:sz w:val="20"/>
    </w:rPr>
  </w:style>
  <w:style w:type="character" w:styleId="ListLabel43">
    <w:name w:val="ListLabel 43"/>
    <w:qFormat/>
    <w:rPr>
      <w:rFonts w:cs="Symbol"/>
      <w:sz w:val="20"/>
    </w:rPr>
  </w:style>
  <w:style w:type="character" w:styleId="ListLabel44">
    <w:name w:val="ListLabel 44"/>
    <w:qFormat/>
    <w:rPr>
      <w:rFonts w:cs="Symbol"/>
      <w:sz w:val="20"/>
    </w:rPr>
  </w:style>
  <w:style w:type="character" w:styleId="ListLabel45">
    <w:name w:val="ListLabel 45"/>
    <w:qFormat/>
    <w:rPr>
      <w:rFonts w:cs="Symbol"/>
      <w:sz w:val="20"/>
    </w:rPr>
  </w:style>
  <w:style w:type="character" w:styleId="ListLabel46">
    <w:name w:val="ListLabel 46"/>
    <w:qFormat/>
    <w:rPr>
      <w:rFonts w:cs="Symbol"/>
      <w:sz w:val="20"/>
    </w:rPr>
  </w:style>
  <w:style w:type="character" w:styleId="ListLabel47">
    <w:name w:val="ListLabel 47"/>
    <w:qFormat/>
    <w:rPr>
      <w:rFonts w:cs="Symbol"/>
    </w:rPr>
  </w:style>
  <w:style w:type="character" w:styleId="ListLabel48">
    <w:name w:val="ListLabel 48"/>
    <w:qFormat/>
    <w:rPr>
      <w:rFonts w:cs="Symbol"/>
      <w:b/>
    </w:rPr>
  </w:style>
  <w:style w:type="character" w:styleId="ListLabel49">
    <w:name w:val="ListLabel 49"/>
    <w:qFormat/>
    <w:rPr>
      <w:rFonts w:cs="Symbol"/>
      <w:b/>
    </w:rPr>
  </w:style>
  <w:style w:type="character" w:styleId="ListLabel50">
    <w:name w:val="ListLabel 50"/>
    <w:qFormat/>
    <w:rPr>
      <w:rFonts w:cs="Symbol"/>
      <w:b/>
    </w:rPr>
  </w:style>
  <w:style w:type="character" w:styleId="ListLabel51">
    <w:name w:val="ListLabel 51"/>
    <w:qFormat/>
    <w:rPr>
      <w:rFonts w:cs="Symbol"/>
      <w:b/>
    </w:rPr>
  </w:style>
  <w:style w:type="character" w:styleId="ListLabel52">
    <w:name w:val="ListLabel 52"/>
    <w:qFormat/>
    <w:rPr>
      <w:rFonts w:cs="Symbol"/>
      <w:b/>
    </w:rPr>
  </w:style>
  <w:style w:type="character" w:styleId="ListLabel53">
    <w:name w:val="ListLabel 53"/>
    <w:qFormat/>
    <w:rPr>
      <w:rFonts w:cs="Symbol"/>
      <w:b/>
    </w:rPr>
  </w:style>
  <w:style w:type="character" w:styleId="ListLabel54">
    <w:name w:val="ListLabel 54"/>
    <w:qFormat/>
    <w:rPr>
      <w:rFonts w:cs="Symbol"/>
      <w:b/>
    </w:rPr>
  </w:style>
  <w:style w:type="character" w:styleId="ListLabel55">
    <w:name w:val="ListLabel 55"/>
    <w:qFormat/>
    <w:rPr>
      <w:rFonts w:cs="Symbol"/>
      <w:b/>
    </w:rPr>
  </w:style>
  <w:style w:type="character" w:styleId="ListLabel56">
    <w:name w:val="ListLabel 56"/>
    <w:qFormat/>
    <w:rPr>
      <w:rFonts w:cs="Symbol"/>
      <w:b/>
    </w:rPr>
  </w:style>
  <w:style w:type="character" w:styleId="ListLabel57">
    <w:name w:val="ListLabel 57"/>
    <w:qFormat/>
    <w:rPr>
      <w:rFonts w:cs="Symbol"/>
      <w:b/>
    </w:rPr>
  </w:style>
  <w:style w:type="character" w:styleId="ListLabel58">
    <w:name w:val="ListLabel 58"/>
    <w:qFormat/>
    <w:rPr>
      <w:rFonts w:cs="Symbol"/>
    </w:rPr>
  </w:style>
  <w:style w:type="character" w:styleId="ListLabel59">
    <w:name w:val="ListLabel 59"/>
    <w:qFormat/>
    <w:rPr>
      <w:rFonts w:cs="Symbol"/>
      <w:b/>
    </w:rPr>
  </w:style>
  <w:style w:type="character" w:styleId="ListLabel60">
    <w:name w:val="ListLabel 60"/>
    <w:qFormat/>
    <w:rPr>
      <w:rFonts w:cs="Symbol"/>
      <w:b/>
    </w:rPr>
  </w:style>
  <w:style w:type="character" w:styleId="ListLabel61">
    <w:name w:val="ListLabel 61"/>
    <w:qFormat/>
    <w:rPr>
      <w:rFonts w:cs="Symbol"/>
    </w:rPr>
  </w:style>
  <w:style w:type="character" w:styleId="ListLabel62">
    <w:name w:val="ListLabel 62"/>
    <w:qFormat/>
    <w:rPr>
      <w:rFonts w:cs="Symbol"/>
    </w:rPr>
  </w:style>
  <w:style w:type="character" w:styleId="ListLabel63">
    <w:name w:val="ListLabel 63"/>
    <w:qFormat/>
    <w:rPr>
      <w:rFonts w:cs="Symbol"/>
    </w:rPr>
  </w:style>
  <w:style w:type="character" w:styleId="ListLabel64">
    <w:name w:val="ListLabel 64"/>
    <w:qFormat/>
    <w:rPr>
      <w:rFonts w:cs="Symbol"/>
      <w:b/>
    </w:rPr>
  </w:style>
  <w:style w:type="character" w:styleId="ListLabel65">
    <w:name w:val="ListLabel 65"/>
    <w:qFormat/>
    <w:rPr>
      <w:rFonts w:cs="Symbol"/>
    </w:rPr>
  </w:style>
  <w:style w:type="character" w:styleId="ListLabel66">
    <w:name w:val="ListLabel 66"/>
    <w:qFormat/>
    <w:rPr>
      <w:rFonts w:cs="Symbol"/>
      <w:b/>
    </w:rPr>
  </w:style>
  <w:style w:type="character" w:styleId="ListLabel67">
    <w:name w:val="ListLabel 67"/>
    <w:qFormat/>
    <w:rPr>
      <w:rFonts w:cs="Symbol"/>
      <w:b/>
    </w:rPr>
  </w:style>
  <w:style w:type="character" w:styleId="ListLabel68">
    <w:name w:val="ListLabel 68"/>
    <w:qFormat/>
    <w:rPr>
      <w:rFonts w:cs="Symbol"/>
      <w:b/>
    </w:rPr>
  </w:style>
  <w:style w:type="character" w:styleId="ListLabel69">
    <w:name w:val="ListLabel 69"/>
    <w:qFormat/>
    <w:rPr>
      <w:rFonts w:cs="Symbol"/>
      <w:b/>
    </w:rPr>
  </w:style>
  <w:style w:type="character" w:styleId="ListLabel70">
    <w:name w:val="ListLabel 70"/>
    <w:qFormat/>
    <w:rPr>
      <w:rFonts w:cs="Symbol"/>
      <w:b/>
    </w:rPr>
  </w:style>
  <w:style w:type="character" w:styleId="ListLabel71">
    <w:name w:val="ListLabel 71"/>
    <w:qFormat/>
    <w:rPr>
      <w:rFonts w:cs="Symbol"/>
      <w:b/>
    </w:rPr>
  </w:style>
  <w:style w:type="character" w:styleId="ListLabel72">
    <w:name w:val="ListLabel 72"/>
    <w:qFormat/>
    <w:rPr>
      <w:rFonts w:cs="Symbol"/>
      <w:b/>
    </w:rPr>
  </w:style>
  <w:style w:type="character" w:styleId="ListLabel73">
    <w:name w:val="ListLabel 73"/>
    <w:qFormat/>
    <w:rPr>
      <w:rFonts w:cs="Symbol"/>
      <w:b/>
    </w:rPr>
  </w:style>
  <w:style w:type="character" w:styleId="ListLabel74">
    <w:name w:val="ListLabel 74"/>
    <w:qFormat/>
    <w:rPr>
      <w:rFonts w:cs="Symbol"/>
    </w:rPr>
  </w:style>
  <w:style w:type="character" w:styleId="Style16">
    <w:name w:val="Маркеры списка"/>
    <w:qFormat/>
    <w:rPr>
      <w:rFonts w:ascii="OpenSymbol" w:hAnsi="OpenSymbol" w:eastAsia="OpenSymbol" w:cs="OpenSymbol"/>
    </w:rPr>
  </w:style>
  <w:style w:type="character" w:styleId="ListLabel75">
    <w:name w:val="ListLabel 75"/>
    <w:qFormat/>
    <w:rPr>
      <w:rFonts w:cs="Symbol"/>
      <w:sz w:val="20"/>
    </w:rPr>
  </w:style>
  <w:style w:type="character" w:styleId="ListLabel76">
    <w:name w:val="ListLabel 76"/>
    <w:qFormat/>
    <w:rPr>
      <w:rFonts w:cs="Symbol"/>
      <w:sz w:val="20"/>
    </w:rPr>
  </w:style>
  <w:style w:type="character" w:styleId="ListLabel77">
    <w:name w:val="ListLabel 77"/>
    <w:qFormat/>
    <w:rPr>
      <w:rFonts w:cs="Symbol"/>
      <w:sz w:val="20"/>
    </w:rPr>
  </w:style>
  <w:style w:type="character" w:styleId="ListLabel78">
    <w:name w:val="ListLabel 78"/>
    <w:qFormat/>
    <w:rPr>
      <w:rFonts w:cs="Symbol"/>
      <w:sz w:val="20"/>
    </w:rPr>
  </w:style>
  <w:style w:type="character" w:styleId="ListLabel79">
    <w:name w:val="ListLabel 79"/>
    <w:qFormat/>
    <w:rPr>
      <w:rFonts w:cs="Symbol"/>
      <w:sz w:val="20"/>
    </w:rPr>
  </w:style>
  <w:style w:type="character" w:styleId="ListLabel80">
    <w:name w:val="ListLabel 80"/>
    <w:qFormat/>
    <w:rPr>
      <w:rFonts w:cs="Symbol"/>
      <w:sz w:val="20"/>
    </w:rPr>
  </w:style>
  <w:style w:type="character" w:styleId="ListLabel81">
    <w:name w:val="ListLabel 81"/>
    <w:qFormat/>
    <w:rPr>
      <w:rFonts w:cs="Symbol"/>
      <w:sz w:val="20"/>
    </w:rPr>
  </w:style>
  <w:style w:type="character" w:styleId="ListLabel82">
    <w:name w:val="ListLabel 82"/>
    <w:qFormat/>
    <w:rPr>
      <w:rFonts w:cs="Symbol"/>
      <w:sz w:val="20"/>
    </w:rPr>
  </w:style>
  <w:style w:type="character" w:styleId="ListLabel83">
    <w:name w:val="ListLabel 83"/>
    <w:qFormat/>
    <w:rPr>
      <w:rFonts w:cs="Symbol"/>
    </w:rPr>
  </w:style>
  <w:style w:type="character" w:styleId="ListLabel84">
    <w:name w:val="ListLabel 84"/>
    <w:qFormat/>
    <w:rPr>
      <w:rFonts w:cs="Symbol"/>
      <w:b/>
    </w:rPr>
  </w:style>
  <w:style w:type="character" w:styleId="ListLabel85">
    <w:name w:val="ListLabel 85"/>
    <w:qFormat/>
    <w:rPr>
      <w:rFonts w:cs="Symbol"/>
      <w:b/>
    </w:rPr>
  </w:style>
  <w:style w:type="character" w:styleId="ListLabel86">
    <w:name w:val="ListLabel 86"/>
    <w:qFormat/>
    <w:rPr>
      <w:rFonts w:cs="Symbol"/>
      <w:b/>
    </w:rPr>
  </w:style>
  <w:style w:type="character" w:styleId="ListLabel87">
    <w:name w:val="ListLabel 87"/>
    <w:qFormat/>
    <w:rPr>
      <w:rFonts w:cs="Symbol"/>
      <w:b/>
    </w:rPr>
  </w:style>
  <w:style w:type="character" w:styleId="ListLabel88">
    <w:name w:val="ListLabel 88"/>
    <w:qFormat/>
    <w:rPr>
      <w:rFonts w:cs="Symbol"/>
      <w:b/>
    </w:rPr>
  </w:style>
  <w:style w:type="character" w:styleId="ListLabel89">
    <w:name w:val="ListLabel 89"/>
    <w:qFormat/>
    <w:rPr>
      <w:rFonts w:cs="Symbol"/>
      <w:b/>
    </w:rPr>
  </w:style>
  <w:style w:type="character" w:styleId="ListLabel90">
    <w:name w:val="ListLabel 90"/>
    <w:qFormat/>
    <w:rPr>
      <w:rFonts w:cs="Symbol"/>
      <w:b/>
    </w:rPr>
  </w:style>
  <w:style w:type="character" w:styleId="ListLabel91">
    <w:name w:val="ListLabel 91"/>
    <w:qFormat/>
    <w:rPr>
      <w:rFonts w:cs="Symbol"/>
      <w:b/>
    </w:rPr>
  </w:style>
  <w:style w:type="character" w:styleId="ListLabel92">
    <w:name w:val="ListLabel 92"/>
    <w:qFormat/>
    <w:rPr>
      <w:rFonts w:cs="Symbol"/>
      <w:b/>
    </w:rPr>
  </w:style>
  <w:style w:type="character" w:styleId="ListLabel93">
    <w:name w:val="ListLabel 93"/>
    <w:qFormat/>
    <w:rPr>
      <w:rFonts w:cs="Symbol"/>
      <w:b/>
    </w:rPr>
  </w:style>
  <w:style w:type="character" w:styleId="ListLabel94">
    <w:name w:val="ListLabel 94"/>
    <w:qFormat/>
    <w:rPr>
      <w:rFonts w:cs="Symbol"/>
    </w:rPr>
  </w:style>
  <w:style w:type="character" w:styleId="ListLabel95">
    <w:name w:val="ListLabel 95"/>
    <w:qFormat/>
    <w:rPr>
      <w:rFonts w:cs="Symbol"/>
      <w:b/>
    </w:rPr>
  </w:style>
  <w:style w:type="character" w:styleId="ListLabel96">
    <w:name w:val="ListLabel 96"/>
    <w:qFormat/>
    <w:rPr>
      <w:rFonts w:cs="Symbol"/>
      <w:b/>
    </w:rPr>
  </w:style>
  <w:style w:type="character" w:styleId="ListLabel97">
    <w:name w:val="ListLabel 97"/>
    <w:qFormat/>
    <w:rPr>
      <w:rFonts w:cs="Symbol"/>
    </w:rPr>
  </w:style>
  <w:style w:type="character" w:styleId="ListLabel98">
    <w:name w:val="ListLabel 98"/>
    <w:qFormat/>
    <w:rPr>
      <w:rFonts w:cs="Symbol"/>
    </w:rPr>
  </w:style>
  <w:style w:type="character" w:styleId="ListLabel99">
    <w:name w:val="ListLabel 99"/>
    <w:qFormat/>
    <w:rPr>
      <w:rFonts w:cs="Symbol"/>
    </w:rPr>
  </w:style>
  <w:style w:type="character" w:styleId="ListLabel100">
    <w:name w:val="ListLabel 100"/>
    <w:qFormat/>
    <w:rPr>
      <w:rFonts w:cs="Symbol"/>
      <w:b/>
    </w:rPr>
  </w:style>
  <w:style w:type="character" w:styleId="ListLabel101">
    <w:name w:val="ListLabel 101"/>
    <w:qFormat/>
    <w:rPr>
      <w:rFonts w:cs="Symbol"/>
      <w:b/>
    </w:rPr>
  </w:style>
  <w:style w:type="character" w:styleId="ListLabel102">
    <w:name w:val="ListLabel 102"/>
    <w:qFormat/>
    <w:rPr>
      <w:rFonts w:cs="Symbol"/>
      <w:b/>
    </w:rPr>
  </w:style>
  <w:style w:type="character" w:styleId="ListLabel103">
    <w:name w:val="ListLabel 103"/>
    <w:qFormat/>
    <w:rPr>
      <w:rFonts w:cs="Symbol"/>
      <w:b/>
    </w:rPr>
  </w:style>
  <w:style w:type="character" w:styleId="ListLabel104">
    <w:name w:val="ListLabel 104"/>
    <w:qFormat/>
    <w:rPr>
      <w:rFonts w:cs="Symbol"/>
      <w:b/>
    </w:rPr>
  </w:style>
  <w:style w:type="character" w:styleId="ListLabel105">
    <w:name w:val="ListLabel 105"/>
    <w:qFormat/>
    <w:rPr>
      <w:rFonts w:cs="Symbol"/>
      <w:b/>
    </w:rPr>
  </w:style>
  <w:style w:type="character" w:styleId="ListLabel106">
    <w:name w:val="ListLabel 106"/>
    <w:qFormat/>
    <w:rPr>
      <w:rFonts w:cs="Symbol"/>
      <w:b/>
    </w:rPr>
  </w:style>
  <w:style w:type="character" w:styleId="ListLabel107">
    <w:name w:val="ListLabel 107"/>
    <w:qFormat/>
    <w:rPr>
      <w:rFonts w:cs="Symbol"/>
      <w:b/>
    </w:rPr>
  </w:style>
  <w:style w:type="character" w:styleId="ListLabel108">
    <w:name w:val="ListLabel 108"/>
    <w:qFormat/>
    <w:rPr>
      <w:rFonts w:cs="Symbol"/>
      <w:b/>
    </w:rPr>
  </w:style>
  <w:style w:type="character" w:styleId="ListLabel109">
    <w:name w:val="ListLabel 109"/>
    <w:qFormat/>
    <w:rPr>
      <w:rFonts w:cs="Symbol"/>
    </w:rPr>
  </w:style>
  <w:style w:type="character" w:styleId="ListLabel110">
    <w:name w:val="ListLabel 110"/>
    <w:qFormat/>
    <w:rPr>
      <w:rFonts w:ascii="Times New Roman" w:hAnsi="Times New Roman" w:cs="OpenSymbol"/>
      <w:b w:val="false"/>
      <w:sz w:val="24"/>
    </w:rPr>
  </w:style>
  <w:style w:type="character" w:styleId="ListLabel111">
    <w:name w:val="ListLabel 111"/>
    <w:qFormat/>
    <w:rPr>
      <w:rFonts w:cs="OpenSymbol"/>
    </w:rPr>
  </w:style>
  <w:style w:type="character" w:styleId="ListLabel112">
    <w:name w:val="ListLabel 112"/>
    <w:qFormat/>
    <w:rPr>
      <w:rFonts w:cs="OpenSymbol"/>
    </w:rPr>
  </w:style>
  <w:style w:type="character" w:styleId="ListLabel113">
    <w:name w:val="ListLabel 113"/>
    <w:qFormat/>
    <w:rPr>
      <w:rFonts w:cs="OpenSymbol"/>
    </w:rPr>
  </w:style>
  <w:style w:type="character" w:styleId="ListLabel114">
    <w:name w:val="ListLabel 114"/>
    <w:qFormat/>
    <w:rPr>
      <w:rFonts w:cs="OpenSymbol"/>
    </w:rPr>
  </w:style>
  <w:style w:type="character" w:styleId="ListLabel115">
    <w:name w:val="ListLabel 115"/>
    <w:qFormat/>
    <w:rPr>
      <w:rFonts w:cs="OpenSymbol"/>
    </w:rPr>
  </w:style>
  <w:style w:type="character" w:styleId="ListLabel116">
    <w:name w:val="ListLabel 116"/>
    <w:qFormat/>
    <w:rPr>
      <w:rFonts w:cs="OpenSymbol"/>
    </w:rPr>
  </w:style>
  <w:style w:type="character" w:styleId="ListLabel117">
    <w:name w:val="ListLabel 117"/>
    <w:qFormat/>
    <w:rPr>
      <w:rFonts w:cs="OpenSymbol"/>
    </w:rPr>
  </w:style>
  <w:style w:type="character" w:styleId="ListLabel118">
    <w:name w:val="ListLabel 118"/>
    <w:qFormat/>
    <w:rPr>
      <w:rFonts w:cs="OpenSymbol"/>
    </w:rPr>
  </w:style>
  <w:style w:type="character" w:styleId="ListLabel119">
    <w:name w:val="ListLabel 119"/>
    <w:qFormat/>
    <w:rPr>
      <w:rFonts w:cs="Symbol"/>
      <w:sz w:val="20"/>
    </w:rPr>
  </w:style>
  <w:style w:type="character" w:styleId="ListLabel120">
    <w:name w:val="ListLabel 120"/>
    <w:qFormat/>
    <w:rPr>
      <w:rFonts w:cs="Symbol"/>
      <w:sz w:val="20"/>
    </w:rPr>
  </w:style>
  <w:style w:type="character" w:styleId="ListLabel121">
    <w:name w:val="ListLabel 121"/>
    <w:qFormat/>
    <w:rPr>
      <w:rFonts w:cs="Symbol"/>
      <w:sz w:val="20"/>
    </w:rPr>
  </w:style>
  <w:style w:type="character" w:styleId="ListLabel122">
    <w:name w:val="ListLabel 122"/>
    <w:qFormat/>
    <w:rPr>
      <w:rFonts w:cs="Symbol"/>
      <w:sz w:val="20"/>
    </w:rPr>
  </w:style>
  <w:style w:type="character" w:styleId="ListLabel123">
    <w:name w:val="ListLabel 123"/>
    <w:qFormat/>
    <w:rPr>
      <w:rFonts w:cs="Symbol"/>
      <w:sz w:val="20"/>
    </w:rPr>
  </w:style>
  <w:style w:type="character" w:styleId="ListLabel124">
    <w:name w:val="ListLabel 124"/>
    <w:qFormat/>
    <w:rPr>
      <w:rFonts w:cs="Symbol"/>
      <w:sz w:val="20"/>
    </w:rPr>
  </w:style>
  <w:style w:type="character" w:styleId="ListLabel125">
    <w:name w:val="ListLabel 125"/>
    <w:qFormat/>
    <w:rPr>
      <w:rFonts w:cs="Symbol"/>
      <w:sz w:val="20"/>
    </w:rPr>
  </w:style>
  <w:style w:type="character" w:styleId="ListLabel126">
    <w:name w:val="ListLabel 126"/>
    <w:qFormat/>
    <w:rPr>
      <w:rFonts w:cs="Symbol"/>
      <w:sz w:val="20"/>
    </w:rPr>
  </w:style>
  <w:style w:type="character" w:styleId="ListLabel127">
    <w:name w:val="ListLabel 127"/>
    <w:qFormat/>
    <w:rPr>
      <w:rFonts w:cs="Symbol"/>
    </w:rPr>
  </w:style>
  <w:style w:type="character" w:styleId="ListLabel128">
    <w:name w:val="ListLabel 128"/>
    <w:qFormat/>
    <w:rPr>
      <w:rFonts w:cs="Symbol"/>
      <w:b/>
    </w:rPr>
  </w:style>
  <w:style w:type="character" w:styleId="ListLabel129">
    <w:name w:val="ListLabel 129"/>
    <w:qFormat/>
    <w:rPr>
      <w:rFonts w:cs="Symbol"/>
      <w:b/>
    </w:rPr>
  </w:style>
  <w:style w:type="character" w:styleId="ListLabel130">
    <w:name w:val="ListLabel 130"/>
    <w:qFormat/>
    <w:rPr>
      <w:rFonts w:cs="Symbol"/>
      <w:b/>
    </w:rPr>
  </w:style>
  <w:style w:type="character" w:styleId="ListLabel131">
    <w:name w:val="ListLabel 131"/>
    <w:qFormat/>
    <w:rPr>
      <w:rFonts w:cs="Symbol"/>
      <w:b/>
    </w:rPr>
  </w:style>
  <w:style w:type="character" w:styleId="ListLabel132">
    <w:name w:val="ListLabel 132"/>
    <w:qFormat/>
    <w:rPr>
      <w:rFonts w:cs="Symbol"/>
      <w:b/>
    </w:rPr>
  </w:style>
  <w:style w:type="character" w:styleId="ListLabel133">
    <w:name w:val="ListLabel 133"/>
    <w:qFormat/>
    <w:rPr>
      <w:rFonts w:cs="Symbol"/>
      <w:b/>
    </w:rPr>
  </w:style>
  <w:style w:type="character" w:styleId="ListLabel134">
    <w:name w:val="ListLabel 134"/>
    <w:qFormat/>
    <w:rPr>
      <w:rFonts w:cs="Symbol"/>
      <w:b/>
    </w:rPr>
  </w:style>
  <w:style w:type="character" w:styleId="ListLabel135">
    <w:name w:val="ListLabel 135"/>
    <w:qFormat/>
    <w:rPr>
      <w:rFonts w:cs="Symbol"/>
    </w:rPr>
  </w:style>
  <w:style w:type="character" w:styleId="ListLabel136">
    <w:name w:val="ListLabel 136"/>
    <w:qFormat/>
    <w:rPr>
      <w:rFonts w:cs="Symbol"/>
    </w:rPr>
  </w:style>
  <w:style w:type="character" w:styleId="ListLabel137">
    <w:name w:val="ListLabel 137"/>
    <w:qFormat/>
    <w:rPr>
      <w:rFonts w:cs="Symbol"/>
    </w:rPr>
  </w:style>
  <w:style w:type="character" w:styleId="ListLabel138">
    <w:name w:val="ListLabel 138"/>
    <w:qFormat/>
    <w:rPr>
      <w:rFonts w:cs="OpenSymbol"/>
      <w:b w:val="false"/>
      <w:sz w:val="24"/>
    </w:rPr>
  </w:style>
  <w:style w:type="character" w:styleId="ListLabel139">
    <w:name w:val="ListLabel 139"/>
    <w:qFormat/>
    <w:rPr>
      <w:rFonts w:cs="OpenSymbol"/>
    </w:rPr>
  </w:style>
  <w:style w:type="character" w:styleId="ListLabel140">
    <w:name w:val="ListLabel 140"/>
    <w:qFormat/>
    <w:rPr>
      <w:rFonts w:cs="OpenSymbol"/>
    </w:rPr>
  </w:style>
  <w:style w:type="character" w:styleId="ListLabel141">
    <w:name w:val="ListLabel 141"/>
    <w:qFormat/>
    <w:rPr>
      <w:rFonts w:cs="OpenSymbol"/>
    </w:rPr>
  </w:style>
  <w:style w:type="character" w:styleId="ListLabel142">
    <w:name w:val="ListLabel 142"/>
    <w:qFormat/>
    <w:rPr>
      <w:rFonts w:cs="OpenSymbol"/>
    </w:rPr>
  </w:style>
  <w:style w:type="character" w:styleId="ListLabel143">
    <w:name w:val="ListLabel 143"/>
    <w:qFormat/>
    <w:rPr>
      <w:rFonts w:cs="OpenSymbol"/>
    </w:rPr>
  </w:style>
  <w:style w:type="character" w:styleId="ListLabel144">
    <w:name w:val="ListLabel 144"/>
    <w:qFormat/>
    <w:rPr>
      <w:rFonts w:cs="OpenSymbol"/>
    </w:rPr>
  </w:style>
  <w:style w:type="character" w:styleId="ListLabel145">
    <w:name w:val="ListLabel 145"/>
    <w:qFormat/>
    <w:rPr>
      <w:rFonts w:cs="OpenSymbol"/>
    </w:rPr>
  </w:style>
  <w:style w:type="character" w:styleId="ListLabel146">
    <w:name w:val="ListLabel 146"/>
    <w:qFormat/>
    <w:rPr>
      <w:rFonts w:cs="OpenSymbol"/>
    </w:rPr>
  </w:style>
  <w:style w:type="character" w:styleId="ListLabel147">
    <w:name w:val="ListLabel 147"/>
    <w:qFormat/>
    <w:rPr>
      <w:rFonts w:cs="Symbol"/>
      <w:sz w:val="20"/>
    </w:rPr>
  </w:style>
  <w:style w:type="character" w:styleId="ListLabel148">
    <w:name w:val="ListLabel 148"/>
    <w:qFormat/>
    <w:rPr>
      <w:rFonts w:cs="Symbol"/>
      <w:sz w:val="20"/>
    </w:rPr>
  </w:style>
  <w:style w:type="character" w:styleId="ListLabel149">
    <w:name w:val="ListLabel 149"/>
    <w:qFormat/>
    <w:rPr>
      <w:rFonts w:cs="Symbol"/>
      <w:sz w:val="20"/>
    </w:rPr>
  </w:style>
  <w:style w:type="character" w:styleId="ListLabel150">
    <w:name w:val="ListLabel 150"/>
    <w:qFormat/>
    <w:rPr>
      <w:rFonts w:cs="Symbol"/>
      <w:sz w:val="20"/>
    </w:rPr>
  </w:style>
  <w:style w:type="character" w:styleId="ListLabel151">
    <w:name w:val="ListLabel 151"/>
    <w:qFormat/>
    <w:rPr>
      <w:rFonts w:cs="Symbol"/>
      <w:sz w:val="20"/>
    </w:rPr>
  </w:style>
  <w:style w:type="character" w:styleId="ListLabel152">
    <w:name w:val="ListLabel 152"/>
    <w:qFormat/>
    <w:rPr>
      <w:rFonts w:cs="Symbol"/>
      <w:sz w:val="20"/>
    </w:rPr>
  </w:style>
  <w:style w:type="character" w:styleId="ListLabel153">
    <w:name w:val="ListLabel 153"/>
    <w:qFormat/>
    <w:rPr>
      <w:rFonts w:cs="Symbol"/>
      <w:sz w:val="20"/>
    </w:rPr>
  </w:style>
  <w:style w:type="character" w:styleId="ListLabel154">
    <w:name w:val="ListLabel 154"/>
    <w:qFormat/>
    <w:rPr>
      <w:rFonts w:cs="Symbol"/>
      <w:sz w:val="20"/>
    </w:rPr>
  </w:style>
  <w:style w:type="character" w:styleId="ListLabel155">
    <w:name w:val="ListLabel 155"/>
    <w:qFormat/>
    <w:rPr>
      <w:rFonts w:cs="Symbol"/>
    </w:rPr>
  </w:style>
  <w:style w:type="character" w:styleId="ListLabel156">
    <w:name w:val="ListLabel 156"/>
    <w:qFormat/>
    <w:rPr>
      <w:rFonts w:cs="Symbol"/>
    </w:rPr>
  </w:style>
  <w:style w:type="character" w:styleId="ListLabel157">
    <w:name w:val="ListLabel 157"/>
    <w:qFormat/>
    <w:rPr>
      <w:rFonts w:cs="Symbol"/>
    </w:rPr>
  </w:style>
  <w:style w:type="character" w:styleId="ListLabel158">
    <w:name w:val="ListLabel 158"/>
    <w:qFormat/>
    <w:rPr>
      <w:rFonts w:cs="Symbol"/>
    </w:rPr>
  </w:style>
  <w:style w:type="character" w:styleId="ListLabel159">
    <w:name w:val="ListLabel 159"/>
    <w:qFormat/>
    <w:rPr>
      <w:rFonts w:cs="OpenSymbol"/>
      <w:b w:val="false"/>
      <w:sz w:val="24"/>
    </w:rPr>
  </w:style>
  <w:style w:type="character" w:styleId="ListLabel160">
    <w:name w:val="ListLabel 160"/>
    <w:qFormat/>
    <w:rPr>
      <w:rFonts w:cs="OpenSymbol"/>
    </w:rPr>
  </w:style>
  <w:style w:type="character" w:styleId="ListLabel161">
    <w:name w:val="ListLabel 161"/>
    <w:qFormat/>
    <w:rPr>
      <w:rFonts w:cs="OpenSymbol"/>
    </w:rPr>
  </w:style>
  <w:style w:type="character" w:styleId="ListLabel162">
    <w:name w:val="ListLabel 162"/>
    <w:qFormat/>
    <w:rPr>
      <w:rFonts w:cs="OpenSymbol"/>
    </w:rPr>
  </w:style>
  <w:style w:type="character" w:styleId="ListLabel163">
    <w:name w:val="ListLabel 163"/>
    <w:qFormat/>
    <w:rPr>
      <w:rFonts w:cs="OpenSymbol"/>
    </w:rPr>
  </w:style>
  <w:style w:type="character" w:styleId="ListLabel164">
    <w:name w:val="ListLabel 164"/>
    <w:qFormat/>
    <w:rPr>
      <w:rFonts w:cs="OpenSymbol"/>
    </w:rPr>
  </w:style>
  <w:style w:type="character" w:styleId="ListLabel165">
    <w:name w:val="ListLabel 165"/>
    <w:qFormat/>
    <w:rPr>
      <w:rFonts w:cs="OpenSymbol"/>
    </w:rPr>
  </w:style>
  <w:style w:type="character" w:styleId="ListLabel166">
    <w:name w:val="ListLabel 166"/>
    <w:qFormat/>
    <w:rPr>
      <w:rFonts w:cs="OpenSymbol"/>
    </w:rPr>
  </w:style>
  <w:style w:type="character" w:styleId="ListLabel167">
    <w:name w:val="ListLabel 167"/>
    <w:qFormat/>
    <w:rPr>
      <w:rFonts w:cs="OpenSymbol"/>
    </w:rPr>
  </w:style>
  <w:style w:type="character" w:styleId="ListLabel168">
    <w:name w:val="ListLabel 168"/>
    <w:qFormat/>
    <w:rPr>
      <w:rFonts w:cs="Symbol"/>
      <w:sz w:val="20"/>
    </w:rPr>
  </w:style>
  <w:style w:type="character" w:styleId="ListLabel169">
    <w:name w:val="ListLabel 169"/>
    <w:qFormat/>
    <w:rPr>
      <w:rFonts w:cs="Symbol"/>
      <w:sz w:val="20"/>
    </w:rPr>
  </w:style>
  <w:style w:type="character" w:styleId="ListLabel170">
    <w:name w:val="ListLabel 170"/>
    <w:qFormat/>
    <w:rPr>
      <w:rFonts w:cs="Symbol"/>
      <w:sz w:val="20"/>
    </w:rPr>
  </w:style>
  <w:style w:type="character" w:styleId="ListLabel171">
    <w:name w:val="ListLabel 171"/>
    <w:qFormat/>
    <w:rPr>
      <w:rFonts w:cs="Symbol"/>
      <w:sz w:val="20"/>
    </w:rPr>
  </w:style>
  <w:style w:type="character" w:styleId="ListLabel172">
    <w:name w:val="ListLabel 172"/>
    <w:qFormat/>
    <w:rPr>
      <w:rFonts w:cs="Symbol"/>
      <w:sz w:val="20"/>
    </w:rPr>
  </w:style>
  <w:style w:type="character" w:styleId="ListLabel173">
    <w:name w:val="ListLabel 173"/>
    <w:qFormat/>
    <w:rPr>
      <w:rFonts w:cs="Symbol"/>
      <w:sz w:val="20"/>
    </w:rPr>
  </w:style>
  <w:style w:type="character" w:styleId="ListLabel174">
    <w:name w:val="ListLabel 174"/>
    <w:qFormat/>
    <w:rPr>
      <w:rFonts w:cs="Symbol"/>
      <w:sz w:val="20"/>
    </w:rPr>
  </w:style>
  <w:style w:type="character" w:styleId="ListLabel175">
    <w:name w:val="ListLabel 175"/>
    <w:qFormat/>
    <w:rPr>
      <w:rFonts w:cs="Symbol"/>
      <w:sz w:val="20"/>
    </w:rPr>
  </w:style>
  <w:style w:type="character" w:styleId="ListLabel176">
    <w:name w:val="ListLabel 176"/>
    <w:qFormat/>
    <w:rPr>
      <w:rFonts w:cs="Symbol"/>
    </w:rPr>
  </w:style>
  <w:style w:type="character" w:styleId="ListLabel177">
    <w:name w:val="ListLabel 177"/>
    <w:qFormat/>
    <w:rPr>
      <w:rFonts w:cs="Symbol"/>
    </w:rPr>
  </w:style>
  <w:style w:type="character" w:styleId="ListLabel178">
    <w:name w:val="ListLabel 178"/>
    <w:qFormat/>
    <w:rPr>
      <w:rFonts w:cs="Symbol"/>
    </w:rPr>
  </w:style>
  <w:style w:type="character" w:styleId="ListLabel179">
    <w:name w:val="ListLabel 179"/>
    <w:qFormat/>
    <w:rPr>
      <w:rFonts w:cs="Symbol"/>
    </w:rPr>
  </w:style>
  <w:style w:type="character" w:styleId="ListLabel180">
    <w:name w:val="ListLabel 180"/>
    <w:qFormat/>
    <w:rPr>
      <w:rFonts w:cs="OpenSymbol"/>
      <w:b w:val="false"/>
      <w:sz w:val="24"/>
    </w:rPr>
  </w:style>
  <w:style w:type="character" w:styleId="ListLabel181">
    <w:name w:val="ListLabel 181"/>
    <w:qFormat/>
    <w:rPr>
      <w:rFonts w:cs="OpenSymbol"/>
    </w:rPr>
  </w:style>
  <w:style w:type="character" w:styleId="ListLabel182">
    <w:name w:val="ListLabel 182"/>
    <w:qFormat/>
    <w:rPr>
      <w:rFonts w:cs="OpenSymbol"/>
    </w:rPr>
  </w:style>
  <w:style w:type="character" w:styleId="ListLabel183">
    <w:name w:val="ListLabel 183"/>
    <w:qFormat/>
    <w:rPr>
      <w:rFonts w:cs="OpenSymbol"/>
    </w:rPr>
  </w:style>
  <w:style w:type="character" w:styleId="ListLabel184">
    <w:name w:val="ListLabel 184"/>
    <w:qFormat/>
    <w:rPr>
      <w:rFonts w:cs="OpenSymbol"/>
    </w:rPr>
  </w:style>
  <w:style w:type="character" w:styleId="ListLabel185">
    <w:name w:val="ListLabel 185"/>
    <w:qFormat/>
    <w:rPr>
      <w:rFonts w:cs="OpenSymbol"/>
    </w:rPr>
  </w:style>
  <w:style w:type="character" w:styleId="ListLabel186">
    <w:name w:val="ListLabel 186"/>
    <w:qFormat/>
    <w:rPr>
      <w:rFonts w:cs="OpenSymbol"/>
    </w:rPr>
  </w:style>
  <w:style w:type="character" w:styleId="ListLabel187">
    <w:name w:val="ListLabel 187"/>
    <w:qFormat/>
    <w:rPr>
      <w:rFonts w:cs="OpenSymbol"/>
    </w:rPr>
  </w:style>
  <w:style w:type="character" w:styleId="ListLabel188">
    <w:name w:val="ListLabel 188"/>
    <w:qFormat/>
    <w:rPr>
      <w:rFonts w:cs="OpenSymbol"/>
    </w:rPr>
  </w:style>
  <w:style w:type="character" w:styleId="ListLabel189">
    <w:name w:val="ListLabel 189"/>
    <w:qFormat/>
    <w:rPr>
      <w:rFonts w:cs="Symbol"/>
      <w:sz w:val="20"/>
    </w:rPr>
  </w:style>
  <w:style w:type="character" w:styleId="ListLabel190">
    <w:name w:val="ListLabel 190"/>
    <w:qFormat/>
    <w:rPr>
      <w:rFonts w:cs="Symbol"/>
      <w:sz w:val="20"/>
    </w:rPr>
  </w:style>
  <w:style w:type="character" w:styleId="ListLabel191">
    <w:name w:val="ListLabel 191"/>
    <w:qFormat/>
    <w:rPr>
      <w:rFonts w:cs="Symbol"/>
      <w:sz w:val="20"/>
    </w:rPr>
  </w:style>
  <w:style w:type="character" w:styleId="ListLabel192">
    <w:name w:val="ListLabel 192"/>
    <w:qFormat/>
    <w:rPr>
      <w:rFonts w:cs="Symbol"/>
      <w:sz w:val="20"/>
    </w:rPr>
  </w:style>
  <w:style w:type="character" w:styleId="ListLabel193">
    <w:name w:val="ListLabel 193"/>
    <w:qFormat/>
    <w:rPr>
      <w:rFonts w:cs="Symbol"/>
      <w:sz w:val="20"/>
    </w:rPr>
  </w:style>
  <w:style w:type="character" w:styleId="ListLabel194">
    <w:name w:val="ListLabel 194"/>
    <w:qFormat/>
    <w:rPr>
      <w:rFonts w:cs="Symbol"/>
      <w:sz w:val="20"/>
    </w:rPr>
  </w:style>
  <w:style w:type="character" w:styleId="ListLabel195">
    <w:name w:val="ListLabel 195"/>
    <w:qFormat/>
    <w:rPr>
      <w:rFonts w:cs="Symbol"/>
      <w:sz w:val="20"/>
    </w:rPr>
  </w:style>
  <w:style w:type="character" w:styleId="ListLabel196">
    <w:name w:val="ListLabel 196"/>
    <w:qFormat/>
    <w:rPr>
      <w:rFonts w:cs="Symbol"/>
      <w:sz w:val="20"/>
    </w:rPr>
  </w:style>
  <w:style w:type="character" w:styleId="ListLabel197">
    <w:name w:val="ListLabel 197"/>
    <w:qFormat/>
    <w:rPr>
      <w:rFonts w:cs="Symbol"/>
    </w:rPr>
  </w:style>
  <w:style w:type="character" w:styleId="ListLabel198">
    <w:name w:val="ListLabel 198"/>
    <w:qFormat/>
    <w:rPr>
      <w:rFonts w:cs="Symbol"/>
    </w:rPr>
  </w:style>
  <w:style w:type="character" w:styleId="ListLabel199">
    <w:name w:val="ListLabel 199"/>
    <w:qFormat/>
    <w:rPr>
      <w:rFonts w:cs="Symbol"/>
    </w:rPr>
  </w:style>
  <w:style w:type="character" w:styleId="ListLabel200">
    <w:name w:val="ListLabel 200"/>
    <w:qFormat/>
    <w:rPr>
      <w:rFonts w:cs="Symbol"/>
    </w:rPr>
  </w:style>
  <w:style w:type="character" w:styleId="ListLabel201">
    <w:name w:val="ListLabel 201"/>
    <w:qFormat/>
    <w:rPr>
      <w:rFonts w:cs="OpenSymbol"/>
      <w:b w:val="false"/>
      <w:sz w:val="24"/>
    </w:rPr>
  </w:style>
  <w:style w:type="character" w:styleId="ListLabel202">
    <w:name w:val="ListLabel 202"/>
    <w:qFormat/>
    <w:rPr>
      <w:rFonts w:cs="OpenSymbol"/>
    </w:rPr>
  </w:style>
  <w:style w:type="character" w:styleId="ListLabel203">
    <w:name w:val="ListLabel 203"/>
    <w:qFormat/>
    <w:rPr>
      <w:rFonts w:cs="OpenSymbol"/>
    </w:rPr>
  </w:style>
  <w:style w:type="character" w:styleId="ListLabel204">
    <w:name w:val="ListLabel 204"/>
    <w:qFormat/>
    <w:rPr>
      <w:rFonts w:cs="OpenSymbol"/>
    </w:rPr>
  </w:style>
  <w:style w:type="character" w:styleId="ListLabel205">
    <w:name w:val="ListLabel 205"/>
    <w:qFormat/>
    <w:rPr>
      <w:rFonts w:cs="OpenSymbol"/>
    </w:rPr>
  </w:style>
  <w:style w:type="character" w:styleId="ListLabel206">
    <w:name w:val="ListLabel 206"/>
    <w:qFormat/>
    <w:rPr>
      <w:rFonts w:cs="OpenSymbol"/>
    </w:rPr>
  </w:style>
  <w:style w:type="character" w:styleId="ListLabel207">
    <w:name w:val="ListLabel 207"/>
    <w:qFormat/>
    <w:rPr>
      <w:rFonts w:cs="OpenSymbol"/>
    </w:rPr>
  </w:style>
  <w:style w:type="character" w:styleId="ListLabel208">
    <w:name w:val="ListLabel 208"/>
    <w:qFormat/>
    <w:rPr>
      <w:rFonts w:cs="OpenSymbol"/>
    </w:rPr>
  </w:style>
  <w:style w:type="character" w:styleId="ListLabel209">
    <w:name w:val="ListLabel 209"/>
    <w:qFormat/>
    <w:rPr>
      <w:rFonts w:cs="OpenSymbol"/>
    </w:rPr>
  </w:style>
  <w:style w:type="character" w:styleId="ListLabel210">
    <w:name w:val="ListLabel 210"/>
    <w:qFormat/>
    <w:rPr>
      <w:rFonts w:cs="Symbol"/>
      <w:sz w:val="20"/>
    </w:rPr>
  </w:style>
  <w:style w:type="character" w:styleId="ListLabel211">
    <w:name w:val="ListLabel 211"/>
    <w:qFormat/>
    <w:rPr>
      <w:rFonts w:cs="Symbol"/>
      <w:sz w:val="20"/>
    </w:rPr>
  </w:style>
  <w:style w:type="character" w:styleId="ListLabel212">
    <w:name w:val="ListLabel 212"/>
    <w:qFormat/>
    <w:rPr>
      <w:rFonts w:cs="Symbol"/>
      <w:sz w:val="20"/>
    </w:rPr>
  </w:style>
  <w:style w:type="character" w:styleId="ListLabel213">
    <w:name w:val="ListLabel 213"/>
    <w:qFormat/>
    <w:rPr>
      <w:rFonts w:cs="Symbol"/>
      <w:sz w:val="20"/>
    </w:rPr>
  </w:style>
  <w:style w:type="character" w:styleId="ListLabel214">
    <w:name w:val="ListLabel 214"/>
    <w:qFormat/>
    <w:rPr>
      <w:rFonts w:cs="Symbol"/>
      <w:sz w:val="20"/>
    </w:rPr>
  </w:style>
  <w:style w:type="character" w:styleId="ListLabel215">
    <w:name w:val="ListLabel 215"/>
    <w:qFormat/>
    <w:rPr>
      <w:rFonts w:cs="Symbol"/>
      <w:sz w:val="20"/>
    </w:rPr>
  </w:style>
  <w:style w:type="character" w:styleId="ListLabel216">
    <w:name w:val="ListLabel 216"/>
    <w:qFormat/>
    <w:rPr>
      <w:rFonts w:cs="Symbol"/>
      <w:sz w:val="20"/>
    </w:rPr>
  </w:style>
  <w:style w:type="character" w:styleId="ListLabel217">
    <w:name w:val="ListLabel 217"/>
    <w:qFormat/>
    <w:rPr>
      <w:rFonts w:cs="Symbol"/>
      <w:sz w:val="20"/>
    </w:rPr>
  </w:style>
  <w:style w:type="character" w:styleId="ListLabel218">
    <w:name w:val="ListLabel 218"/>
    <w:qFormat/>
    <w:rPr>
      <w:rFonts w:cs="Symbol"/>
    </w:rPr>
  </w:style>
  <w:style w:type="character" w:styleId="ListLabel219">
    <w:name w:val="ListLabel 219"/>
    <w:qFormat/>
    <w:rPr>
      <w:rFonts w:cs="Symbol"/>
    </w:rPr>
  </w:style>
  <w:style w:type="character" w:styleId="ListLabel220">
    <w:name w:val="ListLabel 220"/>
    <w:qFormat/>
    <w:rPr>
      <w:rFonts w:cs="Symbol"/>
    </w:rPr>
  </w:style>
  <w:style w:type="character" w:styleId="ListLabel221">
    <w:name w:val="ListLabel 221"/>
    <w:qFormat/>
    <w:rPr>
      <w:rFonts w:cs="Symbol"/>
    </w:rPr>
  </w:style>
  <w:style w:type="character" w:styleId="ListLabel222">
    <w:name w:val="ListLabel 222"/>
    <w:qFormat/>
    <w:rPr>
      <w:rFonts w:cs="OpenSymbol"/>
      <w:b w:val="false"/>
      <w:sz w:val="24"/>
    </w:rPr>
  </w:style>
  <w:style w:type="character" w:styleId="ListLabel223">
    <w:name w:val="ListLabel 223"/>
    <w:qFormat/>
    <w:rPr>
      <w:rFonts w:cs="OpenSymbol"/>
    </w:rPr>
  </w:style>
  <w:style w:type="character" w:styleId="ListLabel224">
    <w:name w:val="ListLabel 224"/>
    <w:qFormat/>
    <w:rPr>
      <w:rFonts w:cs="OpenSymbol"/>
    </w:rPr>
  </w:style>
  <w:style w:type="character" w:styleId="ListLabel225">
    <w:name w:val="ListLabel 225"/>
    <w:qFormat/>
    <w:rPr>
      <w:rFonts w:cs="OpenSymbol"/>
    </w:rPr>
  </w:style>
  <w:style w:type="character" w:styleId="ListLabel226">
    <w:name w:val="ListLabel 226"/>
    <w:qFormat/>
    <w:rPr>
      <w:rFonts w:cs="OpenSymbol"/>
    </w:rPr>
  </w:style>
  <w:style w:type="character" w:styleId="ListLabel227">
    <w:name w:val="ListLabel 227"/>
    <w:qFormat/>
    <w:rPr>
      <w:rFonts w:cs="OpenSymbol"/>
    </w:rPr>
  </w:style>
  <w:style w:type="character" w:styleId="ListLabel228">
    <w:name w:val="ListLabel 228"/>
    <w:qFormat/>
    <w:rPr>
      <w:rFonts w:cs="OpenSymbol"/>
    </w:rPr>
  </w:style>
  <w:style w:type="character" w:styleId="ListLabel229">
    <w:name w:val="ListLabel 229"/>
    <w:qFormat/>
    <w:rPr>
      <w:rFonts w:cs="OpenSymbol"/>
    </w:rPr>
  </w:style>
  <w:style w:type="character" w:styleId="ListLabel230">
    <w:name w:val="ListLabel 230"/>
    <w:qFormat/>
    <w:rPr>
      <w:rFonts w:cs="OpenSymbol"/>
    </w:rPr>
  </w:style>
  <w:style w:type="character" w:styleId="ListLabel231">
    <w:name w:val="ListLabel 231"/>
    <w:qFormat/>
    <w:rPr>
      <w:rFonts w:cs="Symbol"/>
      <w:sz w:val="20"/>
    </w:rPr>
  </w:style>
  <w:style w:type="character" w:styleId="ListLabel232">
    <w:name w:val="ListLabel 232"/>
    <w:qFormat/>
    <w:rPr>
      <w:rFonts w:cs="Symbol"/>
      <w:sz w:val="20"/>
    </w:rPr>
  </w:style>
  <w:style w:type="character" w:styleId="ListLabel233">
    <w:name w:val="ListLabel 233"/>
    <w:qFormat/>
    <w:rPr>
      <w:rFonts w:cs="Symbol"/>
      <w:sz w:val="20"/>
    </w:rPr>
  </w:style>
  <w:style w:type="character" w:styleId="ListLabel234">
    <w:name w:val="ListLabel 234"/>
    <w:qFormat/>
    <w:rPr>
      <w:rFonts w:cs="Symbol"/>
      <w:sz w:val="20"/>
    </w:rPr>
  </w:style>
  <w:style w:type="character" w:styleId="ListLabel235">
    <w:name w:val="ListLabel 235"/>
    <w:qFormat/>
    <w:rPr>
      <w:rFonts w:cs="Symbol"/>
      <w:sz w:val="20"/>
    </w:rPr>
  </w:style>
  <w:style w:type="character" w:styleId="ListLabel236">
    <w:name w:val="ListLabel 236"/>
    <w:qFormat/>
    <w:rPr>
      <w:rFonts w:cs="Symbol"/>
      <w:sz w:val="20"/>
    </w:rPr>
  </w:style>
  <w:style w:type="character" w:styleId="ListLabel237">
    <w:name w:val="ListLabel 237"/>
    <w:qFormat/>
    <w:rPr>
      <w:rFonts w:cs="Symbol"/>
      <w:sz w:val="20"/>
    </w:rPr>
  </w:style>
  <w:style w:type="character" w:styleId="ListLabel238">
    <w:name w:val="ListLabel 238"/>
    <w:qFormat/>
    <w:rPr>
      <w:rFonts w:cs="Symbol"/>
      <w:sz w:val="20"/>
    </w:rPr>
  </w:style>
  <w:style w:type="character" w:styleId="ListLabel239">
    <w:name w:val="ListLabel 239"/>
    <w:qFormat/>
    <w:rPr>
      <w:rFonts w:cs="Symbol"/>
    </w:rPr>
  </w:style>
  <w:style w:type="character" w:styleId="ListLabel240">
    <w:name w:val="ListLabel 240"/>
    <w:qFormat/>
    <w:rPr>
      <w:rFonts w:cs="Symbol"/>
      <w:b/>
    </w:rPr>
  </w:style>
  <w:style w:type="character" w:styleId="ListLabel241">
    <w:name w:val="ListLabel 241"/>
    <w:qFormat/>
    <w:rPr>
      <w:rFonts w:cs="Symbol"/>
      <w:b/>
    </w:rPr>
  </w:style>
  <w:style w:type="character" w:styleId="ListLabel242">
    <w:name w:val="ListLabel 242"/>
    <w:qFormat/>
    <w:rPr>
      <w:rFonts w:cs="Symbol"/>
      <w:b/>
    </w:rPr>
  </w:style>
  <w:style w:type="character" w:styleId="ListLabel243">
    <w:name w:val="ListLabel 243"/>
    <w:qFormat/>
    <w:rPr>
      <w:rFonts w:cs="OpenSymbol"/>
      <w:b w:val="false"/>
      <w:sz w:val="24"/>
    </w:rPr>
  </w:style>
  <w:style w:type="character" w:styleId="ListLabel244">
    <w:name w:val="ListLabel 244"/>
    <w:qFormat/>
    <w:rPr>
      <w:rFonts w:cs="OpenSymbol"/>
    </w:rPr>
  </w:style>
  <w:style w:type="character" w:styleId="ListLabel245">
    <w:name w:val="ListLabel 245"/>
    <w:qFormat/>
    <w:rPr>
      <w:rFonts w:cs="OpenSymbol"/>
    </w:rPr>
  </w:style>
  <w:style w:type="character" w:styleId="ListLabel246">
    <w:name w:val="ListLabel 246"/>
    <w:qFormat/>
    <w:rPr>
      <w:rFonts w:cs="OpenSymbol"/>
    </w:rPr>
  </w:style>
  <w:style w:type="character" w:styleId="ListLabel247">
    <w:name w:val="ListLabel 247"/>
    <w:qFormat/>
    <w:rPr>
      <w:rFonts w:cs="OpenSymbol"/>
    </w:rPr>
  </w:style>
  <w:style w:type="character" w:styleId="ListLabel248">
    <w:name w:val="ListLabel 248"/>
    <w:qFormat/>
    <w:rPr>
      <w:rFonts w:cs="OpenSymbol"/>
    </w:rPr>
  </w:style>
  <w:style w:type="character" w:styleId="ListLabel249">
    <w:name w:val="ListLabel 249"/>
    <w:qFormat/>
    <w:rPr>
      <w:rFonts w:cs="OpenSymbol"/>
    </w:rPr>
  </w:style>
  <w:style w:type="character" w:styleId="ListLabel250">
    <w:name w:val="ListLabel 250"/>
    <w:qFormat/>
    <w:rPr>
      <w:rFonts w:cs="OpenSymbol"/>
    </w:rPr>
  </w:style>
  <w:style w:type="character" w:styleId="ListLabel251">
    <w:name w:val="ListLabel 251"/>
    <w:qFormat/>
    <w:rPr>
      <w:rFonts w:cs="OpenSymbol"/>
    </w:rPr>
  </w:style>
  <w:style w:type="character" w:styleId="ListLabel252">
    <w:name w:val="ListLabel 252"/>
    <w:qFormat/>
    <w:rPr>
      <w:rFonts w:cs="Symbol"/>
      <w:sz w:val="20"/>
    </w:rPr>
  </w:style>
  <w:style w:type="character" w:styleId="ListLabel253">
    <w:name w:val="ListLabel 253"/>
    <w:qFormat/>
    <w:rPr>
      <w:rFonts w:cs="Symbol"/>
      <w:sz w:val="20"/>
    </w:rPr>
  </w:style>
  <w:style w:type="character" w:styleId="ListLabel254">
    <w:name w:val="ListLabel 254"/>
    <w:qFormat/>
    <w:rPr>
      <w:rFonts w:cs="Symbol"/>
      <w:sz w:val="20"/>
    </w:rPr>
  </w:style>
  <w:style w:type="character" w:styleId="ListLabel255">
    <w:name w:val="ListLabel 255"/>
    <w:qFormat/>
    <w:rPr>
      <w:rFonts w:cs="Symbol"/>
      <w:sz w:val="20"/>
    </w:rPr>
  </w:style>
  <w:style w:type="character" w:styleId="ListLabel256">
    <w:name w:val="ListLabel 256"/>
    <w:qFormat/>
    <w:rPr>
      <w:rFonts w:cs="Symbol"/>
      <w:sz w:val="20"/>
    </w:rPr>
  </w:style>
  <w:style w:type="character" w:styleId="ListLabel257">
    <w:name w:val="ListLabel 257"/>
    <w:qFormat/>
    <w:rPr>
      <w:rFonts w:cs="Symbol"/>
      <w:sz w:val="20"/>
    </w:rPr>
  </w:style>
  <w:style w:type="character" w:styleId="ListLabel258">
    <w:name w:val="ListLabel 258"/>
    <w:qFormat/>
    <w:rPr>
      <w:rFonts w:cs="Symbol"/>
      <w:sz w:val="20"/>
    </w:rPr>
  </w:style>
  <w:style w:type="character" w:styleId="ListLabel259">
    <w:name w:val="ListLabel 259"/>
    <w:qFormat/>
    <w:rPr>
      <w:rFonts w:cs="Symbol"/>
      <w:sz w:val="20"/>
    </w:rPr>
  </w:style>
  <w:style w:type="character" w:styleId="ListLabel260">
    <w:name w:val="ListLabel 260"/>
    <w:qFormat/>
    <w:rPr>
      <w:rFonts w:cs="Symbol"/>
    </w:rPr>
  </w:style>
  <w:style w:type="character" w:styleId="ListLabel261">
    <w:name w:val="ListLabel 261"/>
    <w:qFormat/>
    <w:rPr>
      <w:rFonts w:cs="Symbol"/>
      <w:b/>
    </w:rPr>
  </w:style>
  <w:style w:type="character" w:styleId="ListLabel262">
    <w:name w:val="ListLabel 262"/>
    <w:qFormat/>
    <w:rPr>
      <w:rFonts w:cs="Symbol"/>
      <w:b/>
    </w:rPr>
  </w:style>
  <w:style w:type="character" w:styleId="ListLabel263">
    <w:name w:val="ListLabel 263"/>
    <w:qFormat/>
    <w:rPr>
      <w:rFonts w:cs="Symbol"/>
      <w:b/>
    </w:rPr>
  </w:style>
  <w:style w:type="character" w:styleId="ListLabel264">
    <w:name w:val="ListLabel 264"/>
    <w:qFormat/>
    <w:rPr>
      <w:rFonts w:cs="OpenSymbol"/>
      <w:b w:val="false"/>
      <w:sz w:val="24"/>
    </w:rPr>
  </w:style>
  <w:style w:type="character" w:styleId="ListLabel265">
    <w:name w:val="ListLabel 265"/>
    <w:qFormat/>
    <w:rPr>
      <w:rFonts w:cs="OpenSymbol"/>
    </w:rPr>
  </w:style>
  <w:style w:type="character" w:styleId="ListLabel266">
    <w:name w:val="ListLabel 266"/>
    <w:qFormat/>
    <w:rPr>
      <w:rFonts w:cs="OpenSymbol"/>
    </w:rPr>
  </w:style>
  <w:style w:type="character" w:styleId="ListLabel267">
    <w:name w:val="ListLabel 267"/>
    <w:qFormat/>
    <w:rPr>
      <w:rFonts w:cs="OpenSymbol"/>
    </w:rPr>
  </w:style>
  <w:style w:type="character" w:styleId="ListLabel268">
    <w:name w:val="ListLabel 268"/>
    <w:qFormat/>
    <w:rPr>
      <w:rFonts w:cs="OpenSymbol"/>
    </w:rPr>
  </w:style>
  <w:style w:type="character" w:styleId="ListLabel269">
    <w:name w:val="ListLabel 269"/>
    <w:qFormat/>
    <w:rPr>
      <w:rFonts w:cs="OpenSymbol"/>
    </w:rPr>
  </w:style>
  <w:style w:type="character" w:styleId="ListLabel270">
    <w:name w:val="ListLabel 270"/>
    <w:qFormat/>
    <w:rPr>
      <w:rFonts w:cs="OpenSymbol"/>
    </w:rPr>
  </w:style>
  <w:style w:type="character" w:styleId="ListLabel271">
    <w:name w:val="ListLabel 271"/>
    <w:qFormat/>
    <w:rPr>
      <w:rFonts w:cs="OpenSymbol"/>
    </w:rPr>
  </w:style>
  <w:style w:type="character" w:styleId="ListLabel272">
    <w:name w:val="ListLabel 272"/>
    <w:qFormat/>
    <w:rPr>
      <w:rFonts w:cs="OpenSymbol"/>
    </w:rPr>
  </w:style>
  <w:style w:type="character" w:styleId="ListLabel273">
    <w:name w:val="ListLabel 273"/>
    <w:qFormat/>
    <w:rPr>
      <w:rFonts w:cs="Symbol"/>
      <w:sz w:val="20"/>
    </w:rPr>
  </w:style>
  <w:style w:type="character" w:styleId="ListLabel274">
    <w:name w:val="ListLabel 274"/>
    <w:qFormat/>
    <w:rPr>
      <w:rFonts w:cs="Symbol"/>
      <w:sz w:val="20"/>
    </w:rPr>
  </w:style>
  <w:style w:type="character" w:styleId="ListLabel275">
    <w:name w:val="ListLabel 275"/>
    <w:qFormat/>
    <w:rPr>
      <w:rFonts w:cs="Symbol"/>
      <w:sz w:val="20"/>
    </w:rPr>
  </w:style>
  <w:style w:type="character" w:styleId="ListLabel276">
    <w:name w:val="ListLabel 276"/>
    <w:qFormat/>
    <w:rPr>
      <w:rFonts w:cs="Symbol"/>
      <w:sz w:val="20"/>
    </w:rPr>
  </w:style>
  <w:style w:type="character" w:styleId="ListLabel277">
    <w:name w:val="ListLabel 277"/>
    <w:qFormat/>
    <w:rPr>
      <w:rFonts w:cs="Symbol"/>
      <w:sz w:val="20"/>
    </w:rPr>
  </w:style>
  <w:style w:type="character" w:styleId="ListLabel278">
    <w:name w:val="ListLabel 278"/>
    <w:qFormat/>
    <w:rPr>
      <w:rFonts w:cs="Symbol"/>
      <w:sz w:val="20"/>
    </w:rPr>
  </w:style>
  <w:style w:type="character" w:styleId="ListLabel279">
    <w:name w:val="ListLabel 279"/>
    <w:qFormat/>
    <w:rPr>
      <w:rFonts w:cs="Symbol"/>
      <w:sz w:val="20"/>
    </w:rPr>
  </w:style>
  <w:style w:type="character" w:styleId="ListLabel280">
    <w:name w:val="ListLabel 280"/>
    <w:qFormat/>
    <w:rPr>
      <w:rFonts w:cs="Symbol"/>
      <w:sz w:val="20"/>
    </w:rPr>
  </w:style>
  <w:style w:type="character" w:styleId="ListLabel281">
    <w:name w:val="ListLabel 281"/>
    <w:qFormat/>
    <w:rPr>
      <w:rFonts w:cs="Symbol"/>
    </w:rPr>
  </w:style>
  <w:style w:type="character" w:styleId="ListLabel282">
    <w:name w:val="ListLabel 282"/>
    <w:qFormat/>
    <w:rPr>
      <w:rFonts w:cs="Symbol"/>
      <w:b/>
    </w:rPr>
  </w:style>
  <w:style w:type="character" w:styleId="ListLabel283">
    <w:name w:val="ListLabel 283"/>
    <w:qFormat/>
    <w:rPr>
      <w:rFonts w:cs="Symbol"/>
      <w:b/>
    </w:rPr>
  </w:style>
  <w:style w:type="character" w:styleId="ListLabel284">
    <w:name w:val="ListLabel 284"/>
    <w:qFormat/>
    <w:rPr>
      <w:rFonts w:cs="Symbol"/>
      <w:b/>
    </w:rPr>
  </w:style>
  <w:style w:type="character" w:styleId="ListLabel285">
    <w:name w:val="ListLabel 285"/>
    <w:qFormat/>
    <w:rPr>
      <w:rFonts w:cs="OpenSymbol"/>
      <w:b w:val="false"/>
      <w:sz w:val="24"/>
    </w:rPr>
  </w:style>
  <w:style w:type="character" w:styleId="ListLabel286">
    <w:name w:val="ListLabel 286"/>
    <w:qFormat/>
    <w:rPr>
      <w:rFonts w:cs="OpenSymbol"/>
    </w:rPr>
  </w:style>
  <w:style w:type="character" w:styleId="ListLabel287">
    <w:name w:val="ListLabel 287"/>
    <w:qFormat/>
    <w:rPr>
      <w:rFonts w:cs="OpenSymbol"/>
    </w:rPr>
  </w:style>
  <w:style w:type="character" w:styleId="ListLabel288">
    <w:name w:val="ListLabel 288"/>
    <w:qFormat/>
    <w:rPr>
      <w:rFonts w:cs="OpenSymbol"/>
    </w:rPr>
  </w:style>
  <w:style w:type="character" w:styleId="ListLabel289">
    <w:name w:val="ListLabel 289"/>
    <w:qFormat/>
    <w:rPr>
      <w:rFonts w:cs="OpenSymbol"/>
    </w:rPr>
  </w:style>
  <w:style w:type="character" w:styleId="ListLabel290">
    <w:name w:val="ListLabel 290"/>
    <w:qFormat/>
    <w:rPr>
      <w:rFonts w:cs="OpenSymbol"/>
    </w:rPr>
  </w:style>
  <w:style w:type="character" w:styleId="ListLabel291">
    <w:name w:val="ListLabel 291"/>
    <w:qFormat/>
    <w:rPr>
      <w:rFonts w:cs="OpenSymbol"/>
    </w:rPr>
  </w:style>
  <w:style w:type="character" w:styleId="ListLabel292">
    <w:name w:val="ListLabel 292"/>
    <w:qFormat/>
    <w:rPr>
      <w:rFonts w:cs="OpenSymbol"/>
    </w:rPr>
  </w:style>
  <w:style w:type="character" w:styleId="ListLabel293">
    <w:name w:val="ListLabel 293"/>
    <w:qFormat/>
    <w:rPr>
      <w:rFonts w:cs="OpenSymbol"/>
    </w:rPr>
  </w:style>
  <w:style w:type="character" w:styleId="ListLabel294">
    <w:name w:val="ListLabel 294"/>
    <w:qFormat/>
    <w:rPr>
      <w:rFonts w:cs="Symbol"/>
      <w:sz w:val="20"/>
    </w:rPr>
  </w:style>
  <w:style w:type="character" w:styleId="ListLabel295">
    <w:name w:val="ListLabel 295"/>
    <w:qFormat/>
    <w:rPr>
      <w:rFonts w:cs="Symbol"/>
      <w:sz w:val="20"/>
    </w:rPr>
  </w:style>
  <w:style w:type="character" w:styleId="ListLabel296">
    <w:name w:val="ListLabel 296"/>
    <w:qFormat/>
    <w:rPr>
      <w:rFonts w:cs="Symbol"/>
      <w:sz w:val="20"/>
    </w:rPr>
  </w:style>
  <w:style w:type="character" w:styleId="ListLabel297">
    <w:name w:val="ListLabel 297"/>
    <w:qFormat/>
    <w:rPr>
      <w:rFonts w:cs="Symbol"/>
      <w:sz w:val="20"/>
    </w:rPr>
  </w:style>
  <w:style w:type="character" w:styleId="ListLabel298">
    <w:name w:val="ListLabel 298"/>
    <w:qFormat/>
    <w:rPr>
      <w:rFonts w:cs="Symbol"/>
      <w:sz w:val="20"/>
    </w:rPr>
  </w:style>
  <w:style w:type="character" w:styleId="ListLabel299">
    <w:name w:val="ListLabel 299"/>
    <w:qFormat/>
    <w:rPr>
      <w:rFonts w:cs="Symbol"/>
      <w:sz w:val="20"/>
    </w:rPr>
  </w:style>
  <w:style w:type="character" w:styleId="ListLabel300">
    <w:name w:val="ListLabel 300"/>
    <w:qFormat/>
    <w:rPr>
      <w:rFonts w:cs="Symbol"/>
      <w:sz w:val="20"/>
    </w:rPr>
  </w:style>
  <w:style w:type="character" w:styleId="ListLabel301">
    <w:name w:val="ListLabel 301"/>
    <w:qFormat/>
    <w:rPr>
      <w:rFonts w:cs="Symbol"/>
      <w:sz w:val="20"/>
    </w:rPr>
  </w:style>
  <w:style w:type="character" w:styleId="ListLabel302">
    <w:name w:val="ListLabel 302"/>
    <w:qFormat/>
    <w:rPr>
      <w:rFonts w:cs="Symbol"/>
    </w:rPr>
  </w:style>
  <w:style w:type="character" w:styleId="ListLabel303">
    <w:name w:val="ListLabel 303"/>
    <w:qFormat/>
    <w:rPr>
      <w:rFonts w:cs="Symbol"/>
      <w:b/>
    </w:rPr>
  </w:style>
  <w:style w:type="character" w:styleId="ListLabel304">
    <w:name w:val="ListLabel 304"/>
    <w:qFormat/>
    <w:rPr>
      <w:rFonts w:cs="Symbol"/>
      <w:b/>
    </w:rPr>
  </w:style>
  <w:style w:type="character" w:styleId="ListLabel305">
    <w:name w:val="ListLabel 305"/>
    <w:qFormat/>
    <w:rPr>
      <w:rFonts w:cs="Symbol"/>
      <w:b/>
    </w:rPr>
  </w:style>
  <w:style w:type="character" w:styleId="ListLabel306">
    <w:name w:val="ListLabel 306"/>
    <w:qFormat/>
    <w:rPr>
      <w:rFonts w:cs="OpenSymbol"/>
      <w:b w:val="false"/>
      <w:sz w:val="24"/>
    </w:rPr>
  </w:style>
  <w:style w:type="character" w:styleId="ListLabel307">
    <w:name w:val="ListLabel 307"/>
    <w:qFormat/>
    <w:rPr>
      <w:rFonts w:cs="OpenSymbol"/>
    </w:rPr>
  </w:style>
  <w:style w:type="character" w:styleId="ListLabel308">
    <w:name w:val="ListLabel 308"/>
    <w:qFormat/>
    <w:rPr>
      <w:rFonts w:cs="OpenSymbol"/>
    </w:rPr>
  </w:style>
  <w:style w:type="character" w:styleId="ListLabel309">
    <w:name w:val="ListLabel 309"/>
    <w:qFormat/>
    <w:rPr>
      <w:rFonts w:cs="OpenSymbol"/>
    </w:rPr>
  </w:style>
  <w:style w:type="character" w:styleId="ListLabel310">
    <w:name w:val="ListLabel 310"/>
    <w:qFormat/>
    <w:rPr>
      <w:rFonts w:cs="OpenSymbol"/>
    </w:rPr>
  </w:style>
  <w:style w:type="character" w:styleId="ListLabel311">
    <w:name w:val="ListLabel 311"/>
    <w:qFormat/>
    <w:rPr>
      <w:rFonts w:cs="OpenSymbol"/>
    </w:rPr>
  </w:style>
  <w:style w:type="character" w:styleId="ListLabel312">
    <w:name w:val="ListLabel 312"/>
    <w:qFormat/>
    <w:rPr>
      <w:rFonts w:cs="OpenSymbol"/>
    </w:rPr>
  </w:style>
  <w:style w:type="character" w:styleId="ListLabel313">
    <w:name w:val="ListLabel 313"/>
    <w:qFormat/>
    <w:rPr>
      <w:rFonts w:cs="OpenSymbol"/>
    </w:rPr>
  </w:style>
  <w:style w:type="character" w:styleId="ListLabel314">
    <w:name w:val="ListLabel 314"/>
    <w:qFormat/>
    <w:rPr>
      <w:rFonts w:cs="OpenSymbol"/>
    </w:rPr>
  </w:style>
  <w:style w:type="character" w:styleId="ListLabel315">
    <w:name w:val="ListLabel 315"/>
    <w:qFormat/>
    <w:rPr>
      <w:rFonts w:cs="Symbol"/>
      <w:sz w:val="20"/>
    </w:rPr>
  </w:style>
  <w:style w:type="character" w:styleId="ListLabel316">
    <w:name w:val="ListLabel 316"/>
    <w:qFormat/>
    <w:rPr>
      <w:rFonts w:cs="Symbol"/>
      <w:sz w:val="20"/>
    </w:rPr>
  </w:style>
  <w:style w:type="character" w:styleId="ListLabel317">
    <w:name w:val="ListLabel 317"/>
    <w:qFormat/>
    <w:rPr>
      <w:rFonts w:cs="Symbol"/>
      <w:sz w:val="20"/>
    </w:rPr>
  </w:style>
  <w:style w:type="character" w:styleId="ListLabel318">
    <w:name w:val="ListLabel 318"/>
    <w:qFormat/>
    <w:rPr>
      <w:rFonts w:cs="Symbol"/>
      <w:sz w:val="20"/>
    </w:rPr>
  </w:style>
  <w:style w:type="character" w:styleId="ListLabel319">
    <w:name w:val="ListLabel 319"/>
    <w:qFormat/>
    <w:rPr>
      <w:rFonts w:cs="Symbol"/>
      <w:sz w:val="20"/>
    </w:rPr>
  </w:style>
  <w:style w:type="character" w:styleId="ListLabel320">
    <w:name w:val="ListLabel 320"/>
    <w:qFormat/>
    <w:rPr>
      <w:rFonts w:cs="Symbol"/>
      <w:sz w:val="20"/>
    </w:rPr>
  </w:style>
  <w:style w:type="character" w:styleId="ListLabel321">
    <w:name w:val="ListLabel 321"/>
    <w:qFormat/>
    <w:rPr>
      <w:rFonts w:cs="Symbol"/>
      <w:sz w:val="20"/>
    </w:rPr>
  </w:style>
  <w:style w:type="character" w:styleId="ListLabel322">
    <w:name w:val="ListLabel 322"/>
    <w:qFormat/>
    <w:rPr>
      <w:rFonts w:cs="Symbol"/>
      <w:sz w:val="20"/>
    </w:rPr>
  </w:style>
  <w:style w:type="character" w:styleId="ListLabel323">
    <w:name w:val="ListLabel 323"/>
    <w:qFormat/>
    <w:rPr>
      <w:rFonts w:cs="Symbol"/>
    </w:rPr>
  </w:style>
  <w:style w:type="character" w:styleId="ListLabel324">
    <w:name w:val="ListLabel 324"/>
    <w:qFormat/>
    <w:rPr>
      <w:rFonts w:cs="Symbol"/>
      <w:b/>
    </w:rPr>
  </w:style>
  <w:style w:type="character" w:styleId="ListLabel325">
    <w:name w:val="ListLabel 325"/>
    <w:qFormat/>
    <w:rPr>
      <w:rFonts w:cs="Symbol"/>
      <w:b/>
    </w:rPr>
  </w:style>
  <w:style w:type="character" w:styleId="ListLabel326">
    <w:name w:val="ListLabel 326"/>
    <w:qFormat/>
    <w:rPr>
      <w:rFonts w:cs="Symbol"/>
      <w:b/>
    </w:rPr>
  </w:style>
  <w:style w:type="character" w:styleId="ListLabel327">
    <w:name w:val="ListLabel 327"/>
    <w:qFormat/>
    <w:rPr>
      <w:rFonts w:cs="OpenSymbol"/>
      <w:b w:val="false"/>
      <w:sz w:val="24"/>
    </w:rPr>
  </w:style>
  <w:style w:type="character" w:styleId="ListLabel328">
    <w:name w:val="ListLabel 328"/>
    <w:qFormat/>
    <w:rPr>
      <w:rFonts w:cs="OpenSymbol"/>
    </w:rPr>
  </w:style>
  <w:style w:type="character" w:styleId="ListLabel329">
    <w:name w:val="ListLabel 329"/>
    <w:qFormat/>
    <w:rPr>
      <w:rFonts w:cs="OpenSymbol"/>
    </w:rPr>
  </w:style>
  <w:style w:type="character" w:styleId="ListLabel330">
    <w:name w:val="ListLabel 330"/>
    <w:qFormat/>
    <w:rPr>
      <w:rFonts w:cs="OpenSymbol"/>
    </w:rPr>
  </w:style>
  <w:style w:type="character" w:styleId="ListLabel331">
    <w:name w:val="ListLabel 331"/>
    <w:qFormat/>
    <w:rPr>
      <w:rFonts w:cs="OpenSymbol"/>
    </w:rPr>
  </w:style>
  <w:style w:type="character" w:styleId="ListLabel332">
    <w:name w:val="ListLabel 332"/>
    <w:qFormat/>
    <w:rPr>
      <w:rFonts w:cs="OpenSymbol"/>
    </w:rPr>
  </w:style>
  <w:style w:type="character" w:styleId="ListLabel333">
    <w:name w:val="ListLabel 333"/>
    <w:qFormat/>
    <w:rPr>
      <w:rFonts w:cs="OpenSymbol"/>
    </w:rPr>
  </w:style>
  <w:style w:type="character" w:styleId="ListLabel334">
    <w:name w:val="ListLabel 334"/>
    <w:qFormat/>
    <w:rPr>
      <w:rFonts w:cs="OpenSymbol"/>
    </w:rPr>
  </w:style>
  <w:style w:type="character" w:styleId="ListLabel335">
    <w:name w:val="ListLabel 335"/>
    <w:qFormat/>
    <w:rPr>
      <w:rFonts w:cs="OpenSymbol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Style22">
    <w:name w:val="Содержимое таблицы"/>
    <w:basedOn w:val="Normal"/>
    <w:qFormat/>
    <w:pPr>
      <w:suppressLineNumbers/>
    </w:pPr>
    <w:rPr/>
  </w:style>
  <w:style w:type="paragraph" w:styleId="Style23">
    <w:name w:val="Заголовок таблицы"/>
    <w:basedOn w:val="Style22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599</TotalTime>
  <Application>LibreOffice/6.1.2.1$Windows_x86 LibreOffice_project/65905a128db06ba48db947242809d14d3f9a93fe</Application>
  <Pages>60</Pages>
  <Words>16279</Words>
  <Characters>105509</Characters>
  <CharactersWithSpaces>122131</CharactersWithSpaces>
  <Paragraphs>4119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2018-09-25T15:52:12Z</dcterms:created>
  <dc:creator/>
  <dc:description/>
  <dc:language>ru-RU</dc:language>
  <cp:lastModifiedBy/>
  <cp:lastPrinted>2019-01-10T11:55:39Z</cp:lastPrinted>
  <dcterms:modified xsi:type="dcterms:W3CDTF">2019-01-18T12:18:42Z</dcterms:modified>
  <cp:revision>20</cp:revision>
  <dc:subject/>
  <dc:title/>
</cp:coreProperties>
</file>