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left="5" w:right="19" w:firstLine="538"/>
        <w:spacing w:before="278"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5" w:right="19" w:firstLine="538"/>
        <w:spacing w:before="278"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</w:pPr>
      <w:r/>
    </w:p>
    <w:p>
      <w:pPr>
        <w:ind w:left="5" w:right="19" w:firstLine="538"/>
        <w:spacing w:before="278"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</w:pPr>
      <w:r/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numPr>
          <w:ilvl w:val="0"/>
          <w:numId w:val="0"/>
        </w:numPr>
        <w:ind w:left="0" w:firstLine="0"/>
        <w:spacing w:line="240" w:lineRule="atLeast"/>
        <w:jc w:val="center"/>
        <w:tabs>
          <w:tab w:val="left" w:pos="1985" w:leader="none"/>
        </w:tabs>
        <w:rPr>
          <w:caps/>
          <w:sz w:val="37"/>
          <w:szCs w:val="37"/>
        </w:rPr>
      </w:pPr>
      <w:r>
        <w:rPr>
          <w:caps/>
          <w:sz w:val="37"/>
          <w:szCs w:val="37"/>
        </w:rPr>
        <w:t>МУНИЦИПАЛЬНАЯ  программа  «ПРОФИЛАКТИКА НЕГАТИВНЫХ ПРОяВЛЕНИЙ НА ТЕРРИТОРИИ ЛАХДЕНПОХСКОГО МУНИЦИПАЛЬНОГО РАЙОНА НА</w:t>
      </w:r>
      <w:r>
        <w:rPr>
          <w:caps/>
          <w:sz w:val="37"/>
          <w:szCs w:val="37"/>
        </w:rPr>
      </w:r>
    </w:p>
    <w:p>
      <w:pPr>
        <w:pStyle w:val="1"/>
        <w:numPr>
          <w:ilvl w:val="0"/>
          <w:numId w:val="0"/>
        </w:numPr>
        <w:ind w:left="0" w:firstLine="0"/>
        <w:spacing w:line="240" w:lineRule="atLeast"/>
        <w:jc w:val="center"/>
        <w:tabs>
          <w:tab w:val="left" w:pos="1985" w:leader="none"/>
        </w:tabs>
        <w:rPr>
          <w:caps/>
          <w:sz w:val="37"/>
          <w:szCs w:val="37"/>
        </w:rPr>
      </w:pPr>
      <w:r>
        <w:rPr>
          <w:caps/>
          <w:sz w:val="37"/>
          <w:szCs w:val="37"/>
        </w:rPr>
        <w:t>2017-2021 ГОДЫ»</w:t>
      </w:r>
      <w:r>
        <w:rPr>
          <w:caps/>
          <w:sz w:val="37"/>
          <w:szCs w:val="37"/>
        </w:rPr>
      </w:r>
    </w:p>
    <w:p>
      <w:r/>
    </w:p>
    <w:p>
      <w:r/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  <w:t>Лахденпохья 2017 г.</w:t>
      </w:r>
      <w:r>
        <w:rPr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ПАСПОРТ</w:t>
      </w:r>
      <w:r>
        <w:rPr>
          <w:b/>
          <w:bCs/>
          <w:sz w:val="22"/>
          <w:szCs w:val="22"/>
        </w:rPr>
      </w:r>
    </w:p>
    <w:p>
      <w:pPr>
        <w:spacing w:line="24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муниципальной программы</w:t>
      </w:r>
      <w:r>
        <w:rPr>
          <w:b/>
          <w:bCs/>
          <w:sz w:val="22"/>
          <w:szCs w:val="22"/>
        </w:rPr>
      </w:r>
    </w:p>
    <w:p>
      <w:pPr>
        <w:spacing w:line="240" w:lineRule="atLeast"/>
        <w:jc w:val="center"/>
      </w:pPr>
      <w:r>
        <w:rPr>
          <w:b/>
          <w:bCs/>
          <w:color w:val="26282f"/>
          <w:sz w:val="24"/>
          <w:szCs w:val="24"/>
        </w:rPr>
        <w:t xml:space="preserve">«Профилактика негативных проявлений на территории Лахденпохского муниципального района на 2017-2021 годы» в новой редакции </w:t>
      </w:r>
      <w:r/>
    </w:p>
    <w:p>
      <w:pPr>
        <w:spacing w:line="24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jc w:val="left"/>
        <w:tblInd w:w="-214" w:type="dxa"/>
        <w:tblW w:w="9552" w:type="dxa"/>
      </w:tblPr>
      <w:tblGrid>
        <w:gridCol w:w="2938"/>
        <w:gridCol w:w="6614"/>
      </w:tblGrid>
      <w:tr>
        <w:trPr>
          <w:trHeight w:val="0" w:hRule="auto"/>
        </w:trPr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19"/>
              <w:spacing w:before="278" w:line="274" w:lineRule="exact"/>
              <w:jc w:val="center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6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spacing w:line="2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«Профилактика негативных проявлений на территории Лахденпохского муниципального района на 2017-2021 годы»(далее - Программа).</w:t>
            </w:r>
          </w:p>
        </w:tc>
      </w:tr>
      <w:tr>
        <w:trPr>
          <w:trHeight w:val="0" w:hRule="auto"/>
        </w:trPr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19"/>
              <w:spacing w:before="278" w:line="274" w:lineRule="exact"/>
              <w:jc w:val="center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разработки Программы </w:t>
            </w:r>
          </w:p>
        </w:tc>
        <w:tc>
          <w:tcPr>
            <w:tcW w:w="66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19"/>
              <w:spacing w:line="274" w:lineRule="exact"/>
              <w:jc w:val="both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Федеральный закон от 06.10.2003 года № 131-ФЗ «Об общих принципах организации местного самоуправления в Российской Федерации», </w:t>
            </w:r>
          </w:p>
          <w:p>
            <w:pPr>
              <w:ind w:right="19"/>
              <w:spacing w:line="274" w:lineRule="exact"/>
              <w:jc w:val="both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Закон РФ от 24 июня 1999 г. № 120  «Об основах системы профилактики безнадзорности и правонарушений несовершеннолетних»</w:t>
            </w:r>
          </w:p>
          <w:p>
            <w:pPr>
              <w:ind w:right="19"/>
              <w:spacing w:line="274" w:lineRule="exact"/>
              <w:jc w:val="both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ФЗ от 8 января 1998 г. № 3-ФЗ  «О наркотических средствах и психотропных веществах»</w:t>
            </w:r>
          </w:p>
          <w:p>
            <w:pPr>
              <w:ind w:right="19"/>
              <w:spacing w:line="274" w:lineRule="exact"/>
              <w:jc w:val="both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Указ Президента от 19 декабря 2012 г. № 1666 РФ  «О Стратегии государственной национальной политики Российской Федерации на период до 2025 года»;</w:t>
            </w:r>
          </w:p>
          <w:p>
            <w:pPr>
              <w:ind w:right="19"/>
              <w:spacing w:line="274" w:lineRule="exact"/>
              <w:jc w:val="both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rFonts w:eastAsia="Cambria"/>
                <w:sz w:val="24"/>
                <w:szCs w:val="24"/>
              </w:rPr>
              <w:t>-Постановление Администрации Лахденпохского муниципального района от 30.07.2014 г. № 1441 «О порядке разработки, реализации и оценке эффективности муниципальных программ Лахденпохского муниципального района».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rFonts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и разработчик Программы          </w:t>
            </w:r>
            <w:r>
              <w:rPr>
                <w:rFonts w:cs="Calibri"/>
                <w:sz w:val="24"/>
                <w:szCs w:val="24"/>
              </w:rPr>
            </w:r>
          </w:p>
        </w:tc>
        <w:tc>
          <w:tcPr>
            <w:tcW w:w="66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spacing/>
              <w:jc w:val="both"/>
              <w:rPr>
                <w:rFonts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социальной работы Администрации Лахденпохского муниципального района</w:t>
            </w:r>
            <w:r>
              <w:rPr>
                <w:rFonts w:cs="Calibri"/>
                <w:sz w:val="24"/>
                <w:szCs w:val="24"/>
              </w:rPr>
            </w:r>
          </w:p>
        </w:tc>
      </w:tr>
      <w:tr>
        <w:trPr>
          <w:trHeight w:val="990" w:hRule="atLeast"/>
        </w:trPr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19"/>
              <w:spacing w:before="278" w:line="274" w:lineRule="exact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-Муниципальное учреждение «Районное управление образованием и по делам молодежи» (МУ «РУО и ДМ»);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МКУК «МБ ЛМР»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990" w:hRule="atLeast"/>
        </w:trPr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66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"/>
              <w:ind w:left="0"/>
              <w:spacing w:line="240" w:lineRule="atLeast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Обучающиеся общеобразовательных организаций;</w:t>
            </w:r>
          </w:p>
          <w:p>
            <w:pPr>
              <w:pStyle w:val=""/>
              <w:ind w:left="0"/>
              <w:spacing w:line="240" w:lineRule="atLeast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-ФКУ «Центр ГИМС МЧС России по РК»</w:t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pStyle w:val=""/>
              <w:ind w:left="0"/>
              <w:spacing w:line="240" w:lineRule="atLeast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-ОМВД России по Лахденпохскому району</w:t>
            </w:r>
          </w:p>
          <w:p>
            <w:pPr>
              <w:pStyle w:val=""/>
              <w:ind w:left="0"/>
              <w:spacing w:line="240" w:lineRule="atLeast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-ФКУ УИИ УФСИН России по РК</w:t>
            </w:r>
          </w:p>
          <w:p>
            <w:pPr>
              <w:pStyle w:val=""/>
              <w:ind w:left="0"/>
              <w:spacing w:line="240" w:lineRule="atLeast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-КДН и ЗП</w:t>
            </w:r>
          </w:p>
        </w:tc>
      </w:tr>
      <w:tr>
        <w:trPr>
          <w:trHeight w:val="692" w:hRule="atLeast"/>
        </w:trPr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19"/>
              <w:spacing w:before="278" w:line="274" w:lineRule="exact"/>
              <w:jc w:val="center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66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"/>
              <w:numPr>
                <w:ilvl w:val="0"/>
                <w:numId w:val="3"/>
              </w:numPr>
              <w:ind w:left="720" w:right="19" w:hanging="360"/>
              <w:spacing w:line="274" w:lineRule="exact"/>
              <w:jc w:val="both"/>
              <w:tabs>
                <w:tab w:val="left" w:pos="90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«Профилактика экстремизма и воспитание толерантности».</w:t>
            </w:r>
          </w:p>
          <w:p>
            <w:pPr>
              <w:pStyle w:val=""/>
              <w:numPr>
                <w:ilvl w:val="0"/>
                <w:numId w:val="3"/>
              </w:numPr>
              <w:ind w:left="720" w:right="19" w:hanging="360"/>
              <w:spacing w:line="274" w:lineRule="exact"/>
              <w:jc w:val="both"/>
              <w:tabs>
                <w:tab w:val="left" w:pos="90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правонарушений».</w:t>
            </w:r>
          </w:p>
        </w:tc>
      </w:tr>
      <w:tr>
        <w:trPr>
          <w:trHeight w:val="692" w:hRule="atLeast"/>
        </w:trPr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19"/>
              <w:spacing w:before="278" w:line="274" w:lineRule="exact"/>
              <w:jc w:val="center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66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"/>
              <w: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взаимодействия Администрации Лахденпохского муниципального района, правоохранительных органов, граждан в сфере профилактики негативных проявлений и формирование толерантной среды.</w:t>
            </w:r>
          </w:p>
        </w:tc>
      </w:tr>
      <w:tr>
        <w:trPr>
          <w:trHeight w:val="0" w:hRule="auto"/>
        </w:trPr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19"/>
              <w:spacing w:before="278" w:line="274" w:lineRule="exact"/>
              <w:jc w:val="center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6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19"/>
              <w:spacing/>
              <w:jc w:val="both"/>
              <w:tabs>
                <w:tab w:val="left" w:pos="902" w:leader="none"/>
              </w:tabs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Задача 1. Организация системы межведомственного взаимодействия по профилактике негативных проявлений на территории Лахденпохского муниципального района.</w:t>
            </w:r>
          </w:p>
          <w:p>
            <w:pPr>
              <w:ind w:right="19"/>
              <w:spacing/>
              <w:jc w:val="both"/>
              <w:tabs>
                <w:tab w:val="left" w:pos="902" w:leader="none"/>
              </w:tabs>
              <w:rPr>
                <w:color w:val="282828"/>
                <w:sz w:val="24"/>
                <w:szCs w:val="24"/>
              </w:rPr>
            </w:pPr>
            <w:r>
              <w:rPr>
                <w:color w:val="282828"/>
                <w:sz w:val="24"/>
                <w:szCs w:val="24"/>
              </w:rPr>
              <w:t>Задача 2. Формирование общественного сознания и нетерпимости к проявлению экстремизма.</w:t>
            </w:r>
          </w:p>
        </w:tc>
      </w:tr>
      <w:tr>
        <w:trPr>
          <w:trHeight w:val="2137" w:hRule="atLeast"/>
        </w:trPr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19"/>
              <w:spacing w:before="278" w:line="274" w:lineRule="exact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Конечные результаты программы</w:t>
            </w:r>
          </w:p>
        </w:tc>
        <w:tc>
          <w:tcPr>
            <w:tcW w:w="66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"/>
              <w: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Увеличение соотношения вовлеченных граждан в мероприятия по профилактике негативных проявлений на территории Лахденпохского муниципального района.</w:t>
            </w:r>
          </w:p>
          <w:p>
            <w:pPr>
              <w:pStyle w:val=""/>
              <w: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"/>
              <w:ind w:left="0"/>
              <w:spacing w:line="240" w:lineRule="atLeast"/>
              <w:jc w:val="both"/>
              <w:tabs>
                <w:tab w:val="left" w:pos="28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соотношения проведенных мероприятий по профилактике негативных проявлений среди населения Лахденпохского муниципального района.</w:t>
            </w:r>
          </w:p>
          <w:p>
            <w:pPr>
              <w:pStyle w:val=""/>
              <w:ind w:left="0"/>
              <w:spacing w:line="240" w:lineRule="atLeast"/>
              <w:jc w:val="both"/>
              <w:tabs>
                <w:tab w:val="left" w:pos="28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 количества негативных проявлений.</w:t>
            </w:r>
          </w:p>
          <w:p>
            <w:pPr>
              <w:pStyle w:val=""/>
              <w:ind w:left="0"/>
              <w:spacing w:line="240" w:lineRule="atLeast"/>
              <w:jc w:val="both"/>
              <w:tabs>
                <w:tab w:val="left" w:pos="28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количества опубликованных и размещенных материалов.</w:t>
            </w:r>
          </w:p>
          <w:p>
            <w:pPr>
              <w:pStyle w:val=""/>
              <w:ind w:left="0"/>
              <w:spacing w:line="240" w:lineRule="atLeast"/>
              <w:jc w:val="both"/>
              <w:tabs>
                <w:tab w:val="left" w:pos="281" w:leader="none"/>
              </w:tabs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случаев проявлений экстремизма.</w:t>
            </w:r>
            <w:r>
              <w:rPr>
                <w:b/>
                <w:i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и показатели  Программы</w:t>
            </w:r>
          </w:p>
        </w:tc>
        <w:tc>
          <w:tcPr>
            <w:tcW w:w="66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"/>
              <w:spacing w:line="240" w:lineRule="atLeast"/>
              <w:jc w:val="both"/>
              <w:tabs>
                <w:tab w:val="left" w:pos="281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показатели (индикаторы) определены в подпрограммах Программы.</w:t>
            </w:r>
          </w:p>
        </w:tc>
      </w:tr>
      <w:tr>
        <w:trPr>
          <w:trHeight w:val="0" w:hRule="auto"/>
        </w:trPr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19"/>
              <w:spacing w:before="278" w:line="274" w:lineRule="exact"/>
              <w:jc w:val="center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6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19"/>
              <w:spacing w:before="278" w:line="274" w:lineRule="exact"/>
              <w:jc w:val="center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 с 2017 по 2021 год, без выделения этапов</w:t>
            </w:r>
          </w:p>
        </w:tc>
      </w:tr>
      <w:tr>
        <w:trPr>
          <w:trHeight w:val="0" w:hRule="auto"/>
        </w:trPr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19"/>
              <w:spacing w:before="278" w:line="274" w:lineRule="exact"/>
              <w:jc w:val="center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и источники финансирования Программы </w:t>
            </w:r>
          </w:p>
        </w:tc>
        <w:tc>
          <w:tcPr>
            <w:tcW w:w="66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19"/>
              <w:spacing/>
              <w:jc w:val="both"/>
              <w:tabs>
                <w:tab w:val="left" w:pos="902" w:leader="none"/>
              </w:tabs>
            </w:pPr>
            <w:r>
              <w:rPr>
                <w:sz w:val="24"/>
                <w:szCs w:val="24"/>
              </w:rPr>
              <w:t xml:space="preserve">Общий объем финансирования Программы  за счет средств бюджета Лахденпохского муниципального района, составляет: </w:t>
            </w:r>
            <w:r/>
            <w:bookmarkStart w:id="0" w:name="__DdeLink__6484_436184386"/>
            <w:bookmarkEnd w:id="0"/>
            <w:r/>
            <w:r>
              <w:rPr>
                <w:sz w:val="24"/>
                <w:szCs w:val="24"/>
              </w:rPr>
              <w:t xml:space="preserve"> 135,42 тысяч рублей,  в том числе: </w:t>
            </w:r>
            <w:r/>
          </w:p>
          <w:p>
            <w:pPr>
              <w:ind w:right="19"/>
              <w:spacing/>
              <w:jc w:val="both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2017 году – 0</w:t>
            </w:r>
          </w:p>
          <w:p>
            <w:pPr>
              <w:ind w:right="19"/>
              <w:spacing/>
              <w:jc w:val="both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–32,39</w:t>
            </w:r>
          </w:p>
          <w:p>
            <w:pPr>
              <w:ind w:right="19"/>
              <w:spacing/>
              <w:jc w:val="both"/>
              <w:tabs>
                <w:tab w:val="left" w:pos="902" w:leader="none"/>
              </w:tabs>
            </w:pPr>
            <w:r>
              <w:rPr>
                <w:sz w:val="24"/>
                <w:szCs w:val="24"/>
              </w:rPr>
              <w:t>В 2019 году – 31,46</w:t>
            </w:r>
            <w:r/>
          </w:p>
          <w:p>
            <w:pPr>
              <w:ind w:right="19"/>
              <w:spacing/>
              <w:jc w:val="both"/>
              <w:tabs>
                <w:tab w:val="left" w:pos="902" w:leader="none"/>
              </w:tabs>
            </w:pPr>
            <w:r>
              <w:rPr>
                <w:sz w:val="24"/>
                <w:szCs w:val="24"/>
              </w:rPr>
              <w:t>В 2020 году – 35,97</w:t>
            </w:r>
            <w:r/>
          </w:p>
          <w:p>
            <w:pPr>
              <w:ind w:right="19"/>
              <w:spacing/>
              <w:jc w:val="both"/>
              <w:tabs>
                <w:tab w:val="left" w:pos="902" w:leader="none"/>
              </w:tabs>
            </w:pPr>
            <w:r>
              <w:rPr>
                <w:sz w:val="24"/>
                <w:szCs w:val="24"/>
              </w:rPr>
              <w:t>В 2021 году – 35,60</w:t>
            </w:r>
            <w:r/>
          </w:p>
          <w:p>
            <w:pPr>
              <w:ind w:right="19"/>
              <w:spacing w:line="274" w:lineRule="exact"/>
              <w:jc w:val="both"/>
              <w:tabs>
                <w:tab w:val="left" w:pos="90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организации контроля над ходом реализации Программы</w:t>
            </w:r>
          </w:p>
        </w:tc>
        <w:tc>
          <w:tcPr>
            <w:tcW w:w="661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социальной работы Администрации Лахденпохского муниципального района обеспечивает координацию и мониторинг работ по выполнению Программы, вносит в установленном порядке,  предложения по изменению мероприятий Программы, суммы финансового обеспечения мероприятий программы, с учетом складывающейся социально-экономической ситуации и предоставляет информацию по выполнению программы в первом квартале  2018, 2019, 2020, 2021, 2022 годов, размещает на официальном сайте администрации   информацию о муниципальной программе, ходе её реализации, достижении значений показателей (индикаторов) муниципальной программы, степени выполнения мероприятий муниципальной программы.</w:t>
            </w:r>
          </w:p>
        </w:tc>
      </w:tr>
    </w:tbl>
    <w:p>
      <w:pPr>
        <w:ind w:right="19"/>
        <w:spacing w:line="274" w:lineRule="exact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ind w:right="19"/>
        <w:spacing w:line="274" w:lineRule="exact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ind w:right="19"/>
        <w:spacing w:line="274" w:lineRule="exact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ind w:right="19"/>
        <w:spacing w:line="274" w:lineRule="exact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ind w:right="19"/>
        <w:spacing w:line="274" w:lineRule="exact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ind w:right="19"/>
        <w:spacing w:line="274" w:lineRule="exact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ind w:right="19"/>
        <w:spacing w:line="274" w:lineRule="exact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numPr>
          <w:ilvl w:val="0"/>
          <w:numId w:val="4"/>
        </w:numPr>
        <w:ind w:left="903" w:right="19" w:hanging="360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ХАРАКТЕРИСТИКА СФЕРЫ РЕАЛИЗАЦИИ МУНИЦИПАЛЬНОЙ ПРОГРАММЫ</w:t>
      </w:r>
    </w:p>
    <w:p>
      <w:pPr>
        <w:ind w:left="903" w:right="19"/>
        <w:spacing w:before="278" w:line="274" w:lineRule="exact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ind w:firstLine="543"/>
        <w: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современных условиях проблемы профилактики негативных проявлений среди населения Лахденпохского муниципального района, как  по Республике Карелия, так и в целом по России остаются предельно острыми и их безотлагательное решение в настоящее время жизненно необходимо. </w:t>
      </w:r>
    </w:p>
    <w:p>
      <w:pPr>
        <w:ind w:firstLine="543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Программы направлена на формирование комплексной многоуровневой системы профилактики негативных проявлений: профилактики правонарушений, проявлений экстремизма, противодействию нелегальной миграции, укреплению толерантной среды, профилактики немедицинского потребления наркотиков, борьба с пьянством, алкоголизмом, преступностью, безнадзорностью  и беспризорностью несовершеннолетних, рессолиализацию лиц, освободившихся из мест лишения свободы.</w:t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ЦЕЛЬ И ЗАДАЧИ ПРОГРАММЫ</w:t>
      </w:r>
    </w:p>
    <w:p>
      <w:pPr>
        <w:ind w:right="19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Цель программы:</w:t>
      </w:r>
    </w:p>
    <w:p>
      <w:pPr>
        <w:spacing w:line="20" w:lineRule="atLeast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Совершенствование взаимодействия Администрации Лахденпохского муниципального района, правоохранительных органов, граждан в сфере профилактики негативных проявлений и формирование толерантной среды.</w:t>
      </w:r>
      <w:r>
        <w:rPr>
          <w:b/>
          <w:bCs/>
          <w:sz w:val="24"/>
          <w:szCs w:val="24"/>
        </w:rPr>
      </w:r>
    </w:p>
    <w:p>
      <w:pPr>
        <w:spacing w:line="2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Задачи программы:</w:t>
      </w:r>
    </w:p>
    <w:p>
      <w:pPr>
        <w:ind w:right="19"/>
        <w:spacing/>
        <w:jc w:val="both"/>
        <w:tabs>
          <w:tab w:val="left" w:pos="902" w:leader="none"/>
        </w:tabs>
        <w:rPr>
          <w:color w:val="282828"/>
          <w:sz w:val="24"/>
          <w:szCs w:val="24"/>
        </w:rPr>
      </w:pPr>
      <w:r>
        <w:rPr>
          <w:sz w:val="24"/>
          <w:szCs w:val="24"/>
        </w:rPr>
        <w:t xml:space="preserve">Задача 1. </w:t>
      </w:r>
      <w:r>
        <w:rPr>
          <w:color w:val="282828"/>
          <w:sz w:val="24"/>
          <w:szCs w:val="24"/>
        </w:rPr>
        <w:t>Организация системы межведомственного взаимодействия по профилактике негативных проявлений на территории Лахденпохского муниципального района.</w:t>
      </w:r>
      <w:r>
        <w:rPr>
          <w:color w:val="282828"/>
          <w:sz w:val="24"/>
          <w:szCs w:val="24"/>
        </w:rPr>
      </w:r>
    </w:p>
    <w:p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2. Формирование общественного сознания и нетерпимости к проявлению экстремизма</w:t>
      </w:r>
    </w:p>
    <w:p>
      <w:pPr>
        <w:pStyle w:val="ConsPlusNormal"/>
        <w:ind w:firstLine="540"/>
        <w: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ind w:left="1440" w:right="19"/>
        <w:spacing w:before="278" w:line="274" w:lineRule="exact"/>
        <w:tabs>
          <w:tab w:val="left" w:pos="567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ПРОГНОЗ КОНЕЧНЫХ РЕЗУЛЬТАТОВ ПРОГРАММЫ</w:t>
      </w:r>
    </w:p>
    <w:p>
      <w:pPr>
        <w:pStyle w:val=""/>
        <w:ind w:firstLine="539"/>
        <w:spacing w:before="0" w:line="240" w:lineRule="auto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"/>
        <w:ind w:firstLine="539"/>
        <w:spacing w:before="0" w:line="240" w:lineRule="auto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Конечными результатами Программы, характеризующими эффективность реализации программных мероприятий, являются:</w:t>
      </w:r>
    </w:p>
    <w:p>
      <w:pPr>
        <w:pStyle w:val=""/>
        <w: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Увеличение соотношения вовлеченных граждан в мероприятия по профилактике негативных проявлений на территории Лахденпохского муниципального района -</w:t>
      </w:r>
      <w:r>
        <w:rPr>
          <w:rFonts w:ascii="Times New Roman" w:hAnsi="Times New Roman" w:cs="Times New Roman"/>
          <w:sz w:val="24"/>
          <w:szCs w:val="24"/>
        </w:rPr>
        <w:t xml:space="preserve"> до 148% к уровню 2016 года.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"/>
        <w:ind w:left="0"/>
        <w:spacing w:line="240" w:lineRule="atLeast"/>
        <w:jc w:val="both"/>
        <w:tabs>
          <w:tab w:val="left" w:pos="281" w:leader="none"/>
        </w:tabs>
        <w:rPr>
          <w:sz w:val="24"/>
          <w:szCs w:val="24"/>
        </w:rPr>
      </w:pPr>
      <w:r>
        <w:rPr>
          <w:sz w:val="24"/>
          <w:szCs w:val="24"/>
        </w:rPr>
        <w:t>- Увеличение соотношения проведенных мероприятий по профилактике негативных проявлений среди населения Лахденпохского муниципального района -</w:t>
      </w:r>
      <w:r>
        <w:t xml:space="preserve"> </w:t>
      </w:r>
      <w:r>
        <w:rPr>
          <w:sz w:val="24"/>
          <w:szCs w:val="24"/>
        </w:rPr>
        <w:t>до 124 % к уровню 2016 г.</w:t>
      </w:r>
      <w:r>
        <w:rPr>
          <w:sz w:val="24"/>
          <w:szCs w:val="24"/>
        </w:rPr>
      </w:r>
    </w:p>
    <w:p>
      <w:pPr>
        <w:pStyle w:val=""/>
        <w: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Снижение количества негативных проявлений снижение уровня преступности на 23,5 % к уровню 2016 г.</w:t>
      </w:r>
    </w:p>
    <w:p>
      <w:pPr>
        <w:pStyle w:val=""/>
        <w:ind w:left="0"/>
        <w:spacing w:line="240" w:lineRule="atLeast"/>
        <w:jc w:val="both"/>
        <w:tabs>
          <w:tab w:val="left" w:pos="281" w:leader="none"/>
        </w:tabs>
        <w:rPr>
          <w:sz w:val="24"/>
          <w:szCs w:val="24"/>
        </w:rPr>
      </w:pPr>
      <w:r>
        <w:rPr>
          <w:sz w:val="24"/>
          <w:szCs w:val="24"/>
        </w:rPr>
        <w:t>- Увеличение количества опубликованных и размещенных материалов-на 43%  по отношению к 2016 году.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- Количество случаев проявлений экстремизма-0</w:t>
      </w:r>
    </w:p>
    <w:p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</w:p>
    <w:p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</w:p>
    <w:p>
      <w:pPr>
        <w:ind w:firstLine="540"/>
        <w:spacing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4. МЕРЫ МУНИЦИПАЛЬНОГО РЕГУЛИРОВАНИЯ И УПРАВЛЕНИЯ РИСКАМИ С ЦЕЛЬЮ МИНИМИЗАЦИИ ИХ ВЛИЯНИЯ НА ДОСТИЖЕНИЕ ЦЕЛЕЙ МУНИЦИПАЛЬНОЙ ПРОГРАММЫ</w:t>
      </w:r>
    </w:p>
    <w:p>
      <w:pPr>
        <w:ind w:firstLine="540"/>
        <w:spacing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ind w:firstLine="540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Организационные и управленческие риски могут возникнуть по причине недостаточной проработки вопросов, решаемых в рамках программы, неадекватности системы мониторинга реализации программы, отставания от сроков реализации мероприятий.</w:t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firstLine="540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В процессе реализации программы существует вероятность изменения средств и мероприятий программы. Нейтрализация этих факторов может быть обеспечена за счет корректировки размеров финансирования мероприятий, предусмотренных программой.</w:t>
      </w:r>
    </w:p>
    <w:p>
      <w:pPr>
        <w:ind w:firstLine="540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Программа реализуется в пределах бюджетных ассигнований, предусмотренных в бюджете Лахденпохского муниципального района на соответствующий финансовый год.</w:t>
      </w:r>
    </w:p>
    <w:p>
      <w:pPr>
        <w:ind w:firstLine="709"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Финансово-экономические риски связаны с возможным недофинансированием мероприятий подпрограммы со стороны бюджета района. Причинами непредвиденных рисков могут стать кризисные явления в экономике, природные и техногенные катастрофы и катаклизмы, которые могут привести к ухудшению динамики основных макроэкономических показателей, снижению доходов, поступающих в бюджет района, и к необходимости концентрации средств бюджета на преодоление последствий данных процессов.</w:t>
      </w:r>
    </w:p>
    <w:p>
      <w:pPr>
        <w:ind w:firstLine="709"/>
        <w:spacing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Нормативно-правовые риски могут быть определены непринятием или несвоевременным принятием необходимых нормативных правовых актов, внесением изменений в федеральное законодательство, влияющих на мероприятия подпрограммы.</w:t>
      </w:r>
    </w:p>
    <w:p>
      <w:pPr>
        <w:ind w:firstLine="709"/>
        <w:spacing w:line="2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Для предотвращения и минимизации рисков предполагается организовать мониторинг хода реализации мероприятий подпрограмм, что позволит своевременно принимать управленческие решения в отношении повышения эффективности использования средств и ресурсов программы, своевременной и качественной подготовки нормативных правовых документов.</w:t>
      </w:r>
    </w:p>
    <w:p>
      <w:pPr>
        <w:ind w:left="5" w:right="19" w:firstLine="538"/>
        <w:spacing w:before="278" w:line="20" w:lineRule="atLeas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sz w:val="24"/>
          <w:szCs w:val="24"/>
        </w:rPr>
        <w:t>В случае оказания влияния одного или нескольких факторов на достижение запланированных показателей муниципальной программы ответственный исполнитель вносит предложения о внесении изменений в перечни и состав мероприятий, сроки их реализации, значения планируемых к достижению показателей муниципальной программы, а также в объемы бюджетных ассигнований на реализацию мероприятий в пределах утвержденных лимитов бюджетных ассигнований, предусмотренных планом реализации муниципальной программы на соответствующий год.</w:t>
      </w:r>
      <w:r>
        <w:rPr>
          <w:b/>
          <w:bCs/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 СВЕДЕНИЯ О РАСПРЕДЕЛЕНИИ ОБЪЕМОВ И ИСТОЧНИКОВ ФИНАНСИРОВАНИЯ </w:t>
      </w:r>
    </w:p>
    <w:p>
      <w:pPr>
        <w:ind w:left="5" w:right="19" w:firstLine="538"/>
        <w:spacing w:before="278"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</w:pPr>
      <w:r>
        <w:rPr>
          <w:sz w:val="24"/>
          <w:szCs w:val="24"/>
        </w:rPr>
        <w:t>Объем финансирования составит:  135,42 тысяч рублей:</w:t>
      </w:r>
      <w:r/>
    </w:p>
    <w:p>
      <w:pPr>
        <w:ind w:right="19"/>
        <w:spacing/>
        <w:jc w:val="both"/>
        <w:tabs>
          <w:tab w:val="left" w:pos="902" w:leader="none"/>
        </w:tabs>
      </w:pPr>
      <w:r>
        <w:rPr>
          <w:sz w:val="24"/>
          <w:szCs w:val="24"/>
        </w:rPr>
        <w:t xml:space="preserve"> 135,42 тысяч рублей,  в том числе: </w:t>
      </w:r>
      <w:r/>
    </w:p>
    <w:p>
      <w:pPr>
        <w:ind w:right="19"/>
        <w:spacing/>
        <w:jc w:val="both"/>
        <w:tabs>
          <w:tab w:val="left" w:pos="902" w:leader="none"/>
        </w:tabs>
      </w:pPr>
      <w:r>
        <w:rPr>
          <w:sz w:val="24"/>
          <w:szCs w:val="24"/>
        </w:rPr>
        <w:t>В 2017 году – 0</w:t>
      </w:r>
      <w:r/>
    </w:p>
    <w:p>
      <w:pPr>
        <w:ind w:right="19"/>
        <w:spacing/>
        <w:jc w:val="both"/>
        <w:tabs>
          <w:tab w:val="left" w:pos="902" w:leader="none"/>
        </w:tabs>
      </w:pPr>
      <w:r>
        <w:rPr>
          <w:sz w:val="24"/>
          <w:szCs w:val="24"/>
        </w:rPr>
        <w:t>В 2018 году –32,39</w:t>
      </w:r>
      <w:r/>
    </w:p>
    <w:p>
      <w:pPr>
        <w:ind w:right="19"/>
        <w:spacing/>
        <w:jc w:val="both"/>
        <w:tabs>
          <w:tab w:val="left" w:pos="902" w:leader="none"/>
        </w:tabs>
      </w:pPr>
      <w:r>
        <w:rPr>
          <w:sz w:val="24"/>
          <w:szCs w:val="24"/>
        </w:rPr>
        <w:t>В 2019 году – 31,46</w:t>
      </w:r>
      <w:r/>
    </w:p>
    <w:p>
      <w:pPr>
        <w:ind w:right="19"/>
        <w:spacing/>
        <w:jc w:val="both"/>
        <w:tabs>
          <w:tab w:val="left" w:pos="902" w:leader="none"/>
        </w:tabs>
        <w:rPr>
          <w:sz w:val="24"/>
          <w:szCs w:val="24"/>
        </w:rPr>
      </w:pPr>
      <w:r>
        <w:rPr>
          <w:sz w:val="24"/>
          <w:szCs w:val="24"/>
        </w:rPr>
        <w:t>В 2020 году – 35,97</w:t>
      </w:r>
    </w:p>
    <w:p>
      <w:pPr>
        <w:ind w:right="19"/>
        <w:spacing/>
        <w:jc w:val="both"/>
        <w:tabs>
          <w:tab w:val="left" w:pos="902" w:leader="none"/>
        </w:tabs>
        <w:rPr>
          <w:sz w:val="24"/>
          <w:szCs w:val="24"/>
        </w:rPr>
      </w:pPr>
      <w:r>
        <w:rPr>
          <w:sz w:val="24"/>
          <w:szCs w:val="24"/>
        </w:rPr>
        <w:t>В 2021 году – 35,60</w:t>
      </w:r>
    </w:p>
    <w:p>
      <w:pPr>
        <w:ind w:right="19"/>
        <w:spacing/>
        <w:jc w:val="both"/>
        <w:tabs>
          <w:tab w:val="left" w:pos="902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5" w:right="19" w:firstLine="538"/>
        <w:spacing w:before="278"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ОБОСНОВАНИЕ ПОТРЕБНОСТЕЙ В БЮДЖЕТНЫХ РЕСУРСАХ ДЛЯ ДОСТИЖЕНИЯ ЦЕЛЕЙ И РЕЗУЛЬТАТОВ ПРОГРАММЫ </w:t>
      </w:r>
    </w:p>
    <w:p>
      <w:pPr>
        <w:ind w:left="5" w:right="19" w:firstLine="538"/>
        <w:spacing w:before="278"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sz w:val="24"/>
          <w:szCs w:val="24"/>
        </w:rPr>
        <w:t>Потребность в бюджетных ресурсах Лахденпохского муниципального района для реализации Программы составляет  135,412тыс.руб.</w:t>
      </w:r>
      <w:r>
        <w:rPr>
          <w:b/>
          <w:bCs/>
          <w:sz w:val="24"/>
          <w:szCs w:val="24"/>
        </w:rPr>
      </w:r>
    </w:p>
    <w:p>
      <w:pPr>
        <w:ind w:left="5" w:right="19" w:firstLine="538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  <w:t>Расчет средств осуществлен на основе предложений отдела социальной работы  Администрации Лахденпохского муниципального района, соисполнителей подпрограмм.</w:t>
      </w:r>
    </w:p>
    <w:p>
      <w:pPr>
        <w:ind w:left="5" w:right="19" w:firstLine="538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5" w:right="19" w:firstLine="538"/>
        <w:spacing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7. ОБЕСПЕЧЕНИЕ КОНТРОЛЯ ПО РЕАЛИЗАЦИИ ПРОГРАММЫ </w:t>
      </w:r>
    </w:p>
    <w:p>
      <w:pPr>
        <w:ind w:left="5" w:right="19" w:firstLine="538"/>
        <w:spacing w:line="274" w:lineRule="exact"/>
        <w:jc w:val="center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ind w:left="5" w:right="19" w:firstLine="538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  <w:t xml:space="preserve">Отдел социальной работы Администрации Лахденпохского муниципального района обеспечивает реализацию мероприятий Программы в соответствии с утвержденным объемом финансирования и осуществляет контроль за целевым использованием путем: </w:t>
      </w:r>
    </w:p>
    <w:p>
      <w:pPr>
        <w:ind w:left="5" w:right="19" w:firstLine="538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  <w:t>- отчета о ходе исполнения настоящей Программы в первом квартале 2018, 2019, 2020, 2021, 2022 годов.</w:t>
      </w:r>
    </w:p>
    <w:p>
      <w:pPr>
        <w:ind w:left="5" w:right="19" w:firstLine="538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numPr>
          <w:ilvl w:val="0"/>
          <w:numId w:val="0"/>
        </w:numPr>
        <w:spacing w:line="20" w:lineRule="atLeast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8. ОЦЕНКА ПЛАНИРУЕМОЙ ЭФФЕКТИВНОСТИ РЕАЛИЗАЦИИ МУНИЦИПАЛЬНОЙ ПРОГРАММЫ</w:t>
      </w:r>
    </w:p>
    <w:p>
      <w:pPr>
        <w:numPr>
          <w:ilvl w:val="0"/>
          <w:numId w:val="0"/>
        </w:numPr>
        <w:spacing w:line="20" w:lineRule="atLeast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ind w:firstLine="540"/>
        <w:spacing w:line="2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1. Оценка эффективности реализации муниципальной программы осуществляется в целях контроля, прогноза достижения результатов реализации и своевременного принятия мер по повышению эффективности расходования бюджетных средств и характеризует уровень достижения целевых индикаторов муниципальной программы, показателей результатов задач муниципальной программы, показателей эффективности муниципальной программы.</w:t>
      </w:r>
    </w:p>
    <w:p>
      <w:pPr>
        <w:ind w:firstLine="540"/>
        <w:spacing w:line="2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2. Оценка эффективности реализации муниципальных программ ежегодно осуществляется отделом экономики на основании данных годовых отчетов о ходе реализации и об оценке эффективности реализации муниципальной программы (далее - отчеты) с учетом информации финансового управления в части финансового обеспечения.</w:t>
      </w:r>
    </w:p>
    <w:p>
      <w:pPr>
        <w:ind w:firstLine="540"/>
        <w:spacing w:line="2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3. Оценка эффективности реализации муниципальной программы осуществляется по следующей формуле:</w:t>
      </w:r>
    </w:p>
    <w:p>
      <w:pPr>
        <w:ind w:firstLine="540"/>
        <w:spacing w:line="20" w:lineRule="atLeast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R = SUM (Yi x Bi), </w:t>
      </w:r>
      <w:r>
        <w:rPr>
          <w:sz w:val="24"/>
          <w:szCs w:val="24"/>
        </w:rPr>
        <w:t>где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  <w:lang w:val="en-us"/>
        </w:rPr>
      </w:r>
    </w:p>
    <w:p>
      <w:pPr>
        <w:ind w:firstLine="540"/>
        <w:spacing w:line="20" w:lineRule="atLeast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ind w:firstLine="540"/>
        <w:spacing w:line="2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R - оценка эффективности реализации муниципальной программы;</w:t>
      </w:r>
    </w:p>
    <w:p>
      <w:pPr>
        <w:ind w:firstLine="540"/>
        <w:spacing w:line="2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Yi - весовое значение соответствующего (i) критерия;</w:t>
      </w:r>
    </w:p>
    <w:p>
      <w:pPr>
        <w:ind w:firstLine="540"/>
        <w:spacing w:line="2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Bi - балл по соответствующему (i) критерию.</w:t>
      </w:r>
    </w:p>
    <w:p>
      <w:pPr>
        <w:ind w:firstLine="540"/>
        <w:spacing w:line="20" w:lineRule="atLeast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firstLine="540"/>
        <w:spacing w:line="2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4. Критериями оценки эффективности реализации муниципальных программ являются:</w:t>
      </w:r>
    </w:p>
    <w:p>
      <w:pPr>
        <w:ind w:firstLine="540"/>
        <w:spacing w:line="20" w:lineRule="atLeast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jc w:val="left"/>
        <w:tblInd w:w="-138" w:type="dxa"/>
        <w:tblW w:w="9720" w:type="dxa"/>
      </w:tblPr>
      <w:tblGrid>
        <w:gridCol w:w="615"/>
        <w:gridCol w:w="1230"/>
        <w:gridCol w:w="1845"/>
        <w:gridCol w:w="4770"/>
        <w:gridCol w:w="1260"/>
      </w:tblGrid>
      <w:tr>
        <w:trPr>
          <w:trHeight w:val="800" w:hRule="atLeast"/>
        </w:trPr>
        <w:tc>
          <w:tcPr>
            <w:tcW w:w="615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  <w:p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23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Весовое</w:t>
            </w:r>
          </w:p>
          <w:p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  <w:p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критерия</w:t>
            </w:r>
          </w:p>
          <w:p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(Y)</w:t>
            </w:r>
          </w:p>
        </w:tc>
        <w:tc>
          <w:tcPr>
            <w:tcW w:w="1845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  <w:p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критерия</w:t>
            </w:r>
          </w:p>
        </w:tc>
        <w:tc>
          <w:tcPr>
            <w:tcW w:w="477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критерия</w:t>
            </w:r>
          </w:p>
        </w:tc>
        <w:tc>
          <w:tcPr>
            <w:tcW w:w="126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Балльная</w:t>
            </w:r>
          </w:p>
          <w:p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</w:t>
            </w:r>
          </w:p>
          <w:p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(B)</w:t>
            </w:r>
          </w:p>
        </w:tc>
      </w:tr>
      <w:tr>
        <w:trPr>
          <w:trHeight w:val="769" w:hRule="atLeast"/>
        </w:trPr>
        <w:tc>
          <w:tcPr>
            <w:tcW w:w="615" w:type="dxa"/>
            <w:vMerge w:val="restart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1.</w:t>
            </w:r>
          </w:p>
        </w:tc>
        <w:tc>
          <w:tcPr>
            <w:tcW w:w="1230" w:type="dxa"/>
            <w:vMerge w:val="restart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Y1=0,35 </w:t>
            </w:r>
          </w:p>
        </w:tc>
        <w:tc>
          <w:tcPr>
            <w:tcW w:w="1845" w:type="dxa"/>
            <w:vMerge w:val="restart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достижение   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целевых      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индикаторов  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 в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отчетном году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(X1)         </w:t>
            </w:r>
          </w:p>
        </w:tc>
        <w:tc>
          <w:tcPr>
            <w:tcW w:w="477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100% целевых индикаторов в отчетном году соответствуют или выше утвержденных муниципальной  программой   </w:t>
            </w:r>
          </w:p>
        </w:tc>
        <w:tc>
          <w:tcPr>
            <w:tcW w:w="126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   </w:t>
            </w:r>
          </w:p>
        </w:tc>
      </w:tr>
      <w:tr>
        <w:trPr>
          <w:trHeight w:val="871" w:hRule="atLeast"/>
        </w:trPr>
        <w:tc>
          <w:tcPr>
            <w:tcW w:w="61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230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84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477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более 80% целевых индикаторов в отчетном году соответствуют или выше утвержденных муниципальной программой                         </w:t>
            </w:r>
          </w:p>
        </w:tc>
        <w:tc>
          <w:tcPr>
            <w:tcW w:w="126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6   </w:t>
            </w:r>
          </w:p>
        </w:tc>
      </w:tr>
      <w:tr>
        <w:trPr>
          <w:trHeight w:val="875" w:hRule="atLeast"/>
        </w:trPr>
        <w:tc>
          <w:tcPr>
            <w:tcW w:w="61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230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84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477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50 до 79% целевых индикаторов  в отчетном году соответствуют или выше утвержденных муниципальной  программой                         </w:t>
            </w:r>
          </w:p>
        </w:tc>
        <w:tc>
          <w:tcPr>
            <w:tcW w:w="126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   </w:t>
            </w:r>
          </w:p>
        </w:tc>
      </w:tr>
      <w:tr>
        <w:trPr>
          <w:trHeight w:val="1000" w:hRule="atLeast"/>
        </w:trPr>
        <w:tc>
          <w:tcPr>
            <w:tcW w:w="61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230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84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477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менее 50% целевых индикаторов в отчетном году соответствуют или  выше утвержденных муниципальной программой либо показатели         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достижения целей не установлены    </w:t>
            </w:r>
          </w:p>
        </w:tc>
        <w:tc>
          <w:tcPr>
            <w:tcW w:w="126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0   </w:t>
            </w:r>
          </w:p>
        </w:tc>
      </w:tr>
      <w:tr>
        <w:trPr>
          <w:trHeight w:val="743" w:hRule="atLeast"/>
        </w:trPr>
        <w:tc>
          <w:tcPr>
            <w:tcW w:w="615" w:type="dxa"/>
            <w:vMerge w:val="restart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</w:t>
            </w:r>
          </w:p>
        </w:tc>
        <w:tc>
          <w:tcPr>
            <w:tcW w:w="1230" w:type="dxa"/>
            <w:vMerge w:val="restart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Y2=0,3  </w:t>
            </w:r>
          </w:p>
        </w:tc>
        <w:tc>
          <w:tcPr>
            <w:tcW w:w="1845" w:type="dxa"/>
            <w:vMerge w:val="restart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достижение   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показателей  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результатов  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 в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отчетном     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году (X2)    </w:t>
            </w:r>
          </w:p>
        </w:tc>
        <w:tc>
          <w:tcPr>
            <w:tcW w:w="477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100% показателей результатов в отчетном году соответствуют или выше утвержденных муниципальной  программой                         </w:t>
            </w:r>
          </w:p>
        </w:tc>
        <w:tc>
          <w:tcPr>
            <w:tcW w:w="126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   </w:t>
            </w:r>
          </w:p>
        </w:tc>
      </w:tr>
      <w:tr>
        <w:trPr>
          <w:trHeight w:val="872" w:hRule="atLeast"/>
        </w:trPr>
        <w:tc>
          <w:tcPr>
            <w:tcW w:w="61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230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84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477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85 до 99% показателей  результатов в отчетном году  соответствуют или выше утвержденных муниципальной программой           </w:t>
            </w:r>
          </w:p>
        </w:tc>
        <w:tc>
          <w:tcPr>
            <w:tcW w:w="126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6   </w:t>
            </w:r>
          </w:p>
        </w:tc>
      </w:tr>
      <w:tr>
        <w:trPr>
          <w:trHeight w:val="877" w:hRule="atLeast"/>
        </w:trPr>
        <w:tc>
          <w:tcPr>
            <w:tcW w:w="61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230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84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477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50 до 84% показателей  результатов в отчетном году соответствуют или выше утвержденных муниципальной программой           </w:t>
            </w:r>
          </w:p>
        </w:tc>
        <w:tc>
          <w:tcPr>
            <w:tcW w:w="126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   </w:t>
            </w:r>
          </w:p>
        </w:tc>
      </w:tr>
      <w:tr>
        <w:trPr>
          <w:trHeight w:val="1000" w:hRule="atLeast"/>
        </w:trPr>
        <w:tc>
          <w:tcPr>
            <w:tcW w:w="61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230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84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477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менее 50% показателей результатов  в отчетном году соответствуют или  выше утвержденных муниципальной  программой, либо показатели решения задач не установлены               </w:t>
            </w:r>
          </w:p>
        </w:tc>
        <w:tc>
          <w:tcPr>
            <w:tcW w:w="126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0   </w:t>
            </w:r>
          </w:p>
        </w:tc>
      </w:tr>
      <w:tr>
        <w:trPr>
          <w:trHeight w:val="744" w:hRule="atLeast"/>
        </w:trPr>
        <w:tc>
          <w:tcPr>
            <w:tcW w:w="615" w:type="dxa"/>
            <w:vMerge w:val="restart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3.</w:t>
            </w:r>
          </w:p>
        </w:tc>
        <w:tc>
          <w:tcPr>
            <w:tcW w:w="1230" w:type="dxa"/>
            <w:vMerge w:val="restart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Y3=0,35 </w:t>
            </w:r>
          </w:p>
        </w:tc>
        <w:tc>
          <w:tcPr>
            <w:tcW w:w="1845" w:type="dxa"/>
            <w:vMerge w:val="restart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достижение   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показателей  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эффективности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 в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отчетном году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(X3)         </w:t>
            </w:r>
          </w:p>
        </w:tc>
        <w:tc>
          <w:tcPr>
            <w:tcW w:w="477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отчетном году достигнуты 100% показателей эффективности,  утвержденных муниципальной         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программой                         </w:t>
            </w:r>
          </w:p>
        </w:tc>
        <w:tc>
          <w:tcPr>
            <w:tcW w:w="126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   </w:t>
            </w:r>
          </w:p>
        </w:tc>
      </w:tr>
      <w:tr>
        <w:trPr>
          <w:trHeight w:val="861" w:hRule="atLeast"/>
        </w:trPr>
        <w:tc>
          <w:tcPr>
            <w:tcW w:w="61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230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84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477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отчетном году достигнуты от 85  до 99% показателей эффективности, утвержденных муниципальной программой                         </w:t>
            </w:r>
          </w:p>
        </w:tc>
        <w:tc>
          <w:tcPr>
            <w:tcW w:w="126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6   </w:t>
            </w:r>
          </w:p>
        </w:tc>
      </w:tr>
      <w:tr>
        <w:trPr>
          <w:trHeight w:val="878" w:hRule="atLeast"/>
        </w:trPr>
        <w:tc>
          <w:tcPr>
            <w:tcW w:w="61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230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84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477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отчетном году достигнуты от 50  до 84% показателей эффективности, утвержденных муниципальной  программой                         </w:t>
            </w:r>
          </w:p>
        </w:tc>
        <w:tc>
          <w:tcPr>
            <w:tcW w:w="126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   </w:t>
            </w:r>
          </w:p>
        </w:tc>
      </w:tr>
      <w:tr>
        <w:trPr>
          <w:trHeight w:val="697" w:hRule="atLeast"/>
        </w:trPr>
        <w:tc>
          <w:tcPr>
            <w:tcW w:w="61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230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1845" w:type="dxa"/>
            <w:vMerge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/>
        </w:tc>
        <w:tc>
          <w:tcPr>
            <w:tcW w:w="477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отчетном году достигнуты менее  50% показателей эффективности,  утвержденных муниципальной  программой, показатели             </w:t>
            </w:r>
          </w:p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эффективности не установлены  либо информация об их выполнении не представлена                    </w:t>
            </w:r>
          </w:p>
        </w:tc>
        <w:tc>
          <w:tcPr>
            <w:tcW w:w="1260" w:type="dxa"/>
            <w:tcMar>
              <w:top w:w="0" w:type="dxa"/>
              <w:left w:w="65" w:type="dxa"/>
              <w:bottom w:w="0" w:type="dxa"/>
              <w:right w:w="75" w:type="dxa"/>
            </w:tcMar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</w:tcPr>
          <w:p>
            <w:pPr>
              <w:spacing w:line="2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0   </w:t>
            </w:r>
          </w:p>
        </w:tc>
      </w:tr>
    </w:tbl>
    <w:p>
      <w:pPr>
        <w: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spacing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  <w:t>ПАСПОРТ  ПОДПРОГРАММЫ 1</w:t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  <w:t>«Профилактика экстремизма и воспитание толерантности»</w:t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 «Профилактика негативных проявлений на территории  ЛМР 2017-2021»</w:t>
      </w:r>
    </w:p>
    <w:tbl>
      <w:tblPr>
        <w:jc w:val="left"/>
        <w:tblInd w:w="-108" w:type="dxa"/>
        <w:tblW w:w="9557" w:type="dxa"/>
      </w:tblPr>
      <w:tblGrid>
        <w:gridCol w:w="3504"/>
        <w:gridCol w:w="6053"/>
      </w:tblGrid>
      <w:tr>
        <w:trPr>
          <w:trHeight w:val="0" w:hRule="auto"/>
        </w:trPr>
        <w:tc>
          <w:tcPr>
            <w:tcW w:w="350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0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социальной работы Администрации</w:t>
            </w:r>
          </w:p>
        </w:tc>
      </w:tr>
      <w:tr>
        <w:trPr>
          <w:trHeight w:val="0" w:hRule="auto"/>
        </w:trPr>
        <w:tc>
          <w:tcPr>
            <w:tcW w:w="350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60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МКУК «МБ ЛМР»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 «РУО и ДМ»</w:t>
            </w:r>
          </w:p>
        </w:tc>
      </w:tr>
      <w:tr>
        <w:trPr>
          <w:trHeight w:val="0" w:hRule="auto"/>
        </w:trPr>
        <w:tc>
          <w:tcPr>
            <w:tcW w:w="350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0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</w:t>
            </w:r>
          </w:p>
        </w:tc>
      </w:tr>
      <w:tr>
        <w:trPr>
          <w:trHeight w:val="0" w:hRule="auto"/>
        </w:trPr>
        <w:tc>
          <w:tcPr>
            <w:tcW w:w="350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0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Организация работы по межведомственному взаимодействию по вопросам межнациональных, межконфессиональных отношений     и     профилактике          экстремизма.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Воспитание взаимоуважения на основе ценностей многонационального российского общества через систему образования.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Задача 3. Поддержание межнационального и межконфессионального согласия.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4. Информационно-пропагандистское, методическое  сопровождение профилактики  экстремизма.</w:t>
            </w:r>
          </w:p>
        </w:tc>
      </w:tr>
      <w:tr>
        <w:trPr>
          <w:trHeight w:val="0" w:hRule="auto"/>
        </w:trPr>
        <w:tc>
          <w:tcPr>
            <w:tcW w:w="350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0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граждан состоянием этноконфессиональных отношений и оценки работы по профилактики экстремизма и терроризма.</w:t>
            </w:r>
          </w:p>
        </w:tc>
      </w:tr>
      <w:tr>
        <w:trPr>
          <w:trHeight w:val="3581" w:hRule="atLeast"/>
        </w:trPr>
        <w:tc>
          <w:tcPr>
            <w:tcW w:w="350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результатов реализации подпрограммы </w:t>
            </w:r>
          </w:p>
        </w:tc>
        <w:tc>
          <w:tcPr>
            <w:tcW w:w="60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1.Увеличение доли обучающихся, вовлеченных в мероприятия, направленные на профилактику экстремизма и воспитания толерантности и культуры межнационального и межэтнического общения.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2.Количество проведенных мероприятий направленных на поддержание межнационального и межконфессионального согласия.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Количество специалистов, обученных по вопросам профилактики экстремизма.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Количество распространенных и размещенных информационно-пропагандистских материалов по профилактике экстремизма</w:t>
            </w:r>
          </w:p>
        </w:tc>
      </w:tr>
      <w:tr>
        <w:trPr>
          <w:trHeight w:val="0" w:hRule="auto"/>
        </w:trPr>
        <w:tc>
          <w:tcPr>
            <w:tcW w:w="350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0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2017-2021г.г. без выделения этапов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350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Финансовое обеспечение подпрограммы (тысяч рублей) </w:t>
            </w:r>
          </w:p>
        </w:tc>
        <w:tc>
          <w:tcPr>
            <w:tcW w:w="605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  27,63тыс. руб.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 - 0 тыс. руб.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  – 7,55тыс.руб.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 5,3тыс. руб.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 8,4 тыс.  руб.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 -  6,38 тыс. руб.</w:t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  Характеристика сферы реализации подпрограммы</w:t>
      </w:r>
    </w:p>
    <w:p>
      <w:pPr>
        <w:ind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В последние годы вопросы профилактики экстремизма приобретают все большую актуальность. В современной России любые, зачастую даже самые незначительные конфликты на национальной и религиозной почве, являются объектом пристального внимания со стороны общественности, органов государственной власти и местного самоуправления. Нередко такие конфликты, если не предпринимаются оперативные меры по их разрешению, становятся источниками более масштабных общественных противоречий, политической и социальной нестабильности в муниципалитете или регионе.</w:t>
      </w:r>
    </w:p>
    <w:p>
      <w:pPr>
        <w:ind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Наиболее уязвимой группой выступает молодежь, это вызвано как социально- экономическими, так и этнорелигиозными 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</w:p>
    <w:p>
      <w:pPr>
        <w:ind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Таким образом, экстремизм и преступность в молодёжной среде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 </w:t>
      </w:r>
    </w:p>
    <w:p>
      <w:pPr>
        <w:ind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Лахденпохский муниципальный район - территория, где проживают 13 621 человек (на 1 января 2015 года). Национальный состав населения - подавляющее большинство составляют русские (82,5%), белорусы – 6,5%, украинцы – 4,3%, карелы – 2,1% и представители  других национальностей – 4,6%.</w:t>
      </w:r>
    </w:p>
    <w:p>
      <w:pPr>
        <w:ind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firstLine="709"/>
        <w: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Подпрограмма мероприятий по профилактике экстремизма и формированию толерантной среды  на территории Лахденпохского муниципального района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 Формирование установок толерантного сознания и поведения, веротерпимости и миролюбия. </w:t>
      </w:r>
      <w:r>
        <w:rPr>
          <w:sz w:val="24"/>
          <w:szCs w:val="24"/>
        </w:rPr>
      </w:r>
    </w:p>
    <w:p>
      <w:pPr>
        <w:spacing/>
        <w:jc w:val="both"/>
      </w:pPr>
      <w:r/>
    </w:p>
    <w:p>
      <w:pPr>
        <w:ind w:firstLine="708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По состоянию на 01.01.2016 года за период 2011-2015 годы случаев проявления экстремизма, ксенофобии, этноконфессиональных разногласий не было.</w:t>
      </w:r>
    </w:p>
    <w:p>
      <w:pPr>
        <w:ind w:firstLine="708"/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firstLine="708"/>
        <w: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 xml:space="preserve"> Цели и задачи подпрограммы 1</w:t>
      </w:r>
    </w:p>
    <w:p>
      <w:pPr>
        <w:ind w:firstLine="708"/>
        <w: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ind w:firstLine="708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Цель подпрограммы -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</w:p>
    <w:p>
      <w:pPr>
        <w:ind w:firstLine="708"/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firstLine="708"/>
        <w:spacing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цели необходимо выполнить ряд задач:</w:t>
      </w:r>
    </w:p>
    <w:p>
      <w:pPr>
        <w:ind w:firstLine="708"/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  <w:t>Задача 1. Организация работы по межведомственному взаимодействию по вопросам межнациональных, межконфессиональных отношений     и     профилактике          экстремизма.</w:t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  <w:t>Задача 2. Воспитание взаимоуважения на основе ценностей многонационального российского общества через систему образования.</w:t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Задача 3. Поддержание межнационального и межконфессионального согласия.</w:t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  <w:t>Задача 4. Информационно-пропагандистское, методическое  сопровождение профилактики  экстремизма.</w:t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 xml:space="preserve"> Целевые индикаторы и показатели результатов подпрограммы 1</w:t>
      </w:r>
    </w:p>
    <w:p>
      <w:pPr>
        <w:ind w:firstLine="708"/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numPr>
          <w:ilvl w:val="0"/>
          <w:numId w:val="0"/>
        </w:numPr>
        <w:ind w:firstLine="360"/>
        <w:spacing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Достижение поставленной цели и задач Подпрограммы – 1 характеризуется следующим целевым индикатором:</w:t>
      </w:r>
    </w:p>
    <w:p>
      <w:pPr>
        <w:numPr>
          <w:ilvl w:val="0"/>
          <w:numId w:val="0"/>
        </w:numPr>
        <w:ind w:firstLine="360"/>
        <w:spacing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Удовлетворенность граждан состоянием этноконфессиональных отношений и оценки работы по профилактики экстремизма и терроризма - должно составлять к 2021 году 95 %.</w:t>
      </w:r>
    </w:p>
    <w:p>
      <w:pPr>
        <w:numPr>
          <w:ilvl w:val="0"/>
          <w:numId w:val="0"/>
        </w:numPr>
        <w:ind w:firstLine="360"/>
        <w:spacing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Показатели результатов:</w:t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  <w:t>1.Увеличение доли обучающихся, вовлеченных в мероприятия, направленные на профилактику экстремизма и воспитания толерантности и культуры межнационального и межэтнического общения с 59% до 85%</w:t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  <w:t>2.Количество проведенных мероприятий направленных на поддержание межнационального и межконфессионального согласия- увеличение  в 2 раза по отношению к 2016 году.</w:t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  <w:t>3. Количество специалистов, обученных по вопросам профилактики экстремизма- увеличение в 2 раза по отношению к 2016 году.</w:t>
      </w:r>
    </w:p>
    <w:p>
      <w:pPr>
        <w:numPr>
          <w:ilvl w:val="0"/>
          <w:numId w:val="0"/>
        </w:numPr>
        <w:spacing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4. Количество распространенных и размещенных информационно-пропагандистских материалов по профилактике экстремизма-140% по отношению к 2016 году.</w:t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"/>
        <w:numPr>
          <w:ilvl w:val="0"/>
          <w:numId w:val="0"/>
        </w:numPr>
        <w:ind w:left="1080"/>
        <w:spacing w:after="0" w:line="240" w:lineRule="auto"/>
        <w:contextualSpacing/>
        <w:outlineLvl w:val="1"/>
        <w:widowContro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бъем финансовых ресурсов, необходимых для реализации 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"/>
        <w:numPr>
          <w:ilvl w:val="0"/>
          <w:numId w:val="0"/>
        </w:numPr>
        <w:ind w:left="1080"/>
        <w:spacing w:after="0" w:line="240" w:lineRule="auto"/>
        <w:jc w:val="center"/>
        <w:outlineLvl w:val="1"/>
        <w:widowContro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1.</w:t>
      </w:r>
    </w:p>
    <w:p>
      <w:pPr>
        <w:pStyle w:val=""/>
        <w:numPr>
          <w:ilvl w:val="0"/>
          <w:numId w:val="0"/>
        </w:numPr>
        <w:ind w:left="1080"/>
        <w:spacing w:after="0" w:line="240" w:lineRule="auto"/>
        <w:jc w:val="center"/>
        <w:outlineLvl w:val="1"/>
        <w:widowContro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финансирования составит </w:t>
      </w:r>
      <w:r>
        <w:rPr>
          <w:sz w:val="24"/>
          <w:szCs w:val="24"/>
          <w:u w:color="auto" w:val="single"/>
        </w:rPr>
        <w:t>27,63</w:t>
      </w:r>
      <w:r>
        <w:rPr>
          <w:sz w:val="24"/>
          <w:szCs w:val="24"/>
        </w:rPr>
        <w:t>тыс.руб.,</w:t>
      </w: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"/>
        <w:ind w:left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 потребностей в бюджетных ресурсах для достижений целей и результатов Подпрограммы 1:</w:t>
      </w:r>
    </w:p>
    <w:p>
      <w:pPr>
        <w:pStyle w:val="ConsPlusNormal"/>
        <w:ind w:firstLine="0"/>
        <w:spacing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(Тысяч рублей)</w:t>
      </w:r>
    </w:p>
    <w:tbl>
      <w:tblPr>
        <w:jc w:val="left"/>
        <w:tblInd w:w="-108" w:type="dxa"/>
        <w:tblW w:w="9321" w:type="dxa"/>
      </w:tblPr>
      <w:tblGrid>
        <w:gridCol w:w="3227"/>
        <w:gridCol w:w="1132"/>
        <w:gridCol w:w="1134"/>
        <w:gridCol w:w="1276"/>
        <w:gridCol w:w="1275"/>
        <w:gridCol w:w="1277"/>
      </w:tblGrid>
      <w:tr>
        <w:trPr>
          <w:trHeight w:val="0" w:hRule="auto"/>
        </w:trPr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Мероприятие: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</w:tr>
      <w:tr>
        <w:trPr>
          <w:trHeight w:val="0" w:hRule="auto"/>
        </w:trPr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Памятный митинг, посвященный Дню борьбы с терроризмом  (Сентябрь)</w:t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>
        <w:trPr>
          <w:trHeight w:val="0" w:hRule="auto"/>
        </w:trPr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right="19"/>
              <w:spacing w:line="274" w:lineRule="exact"/>
              <w:jc w:val="both"/>
              <w:tabs>
                <w:tab w:val="left" w:pos="902" w:leader="none"/>
              </w:tabs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Проведение районного конкурса на лучшее  сочинение «Мир, который мы создаем» в 2018 году, 2020 году:</w:t>
            </w:r>
            <w:r>
              <w:rPr>
                <w:sz w:val="24"/>
                <w:szCs w:val="24"/>
              </w:rPr>
            </w:r>
          </w:p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0" w:hRule="auto"/>
        </w:trPr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right="19"/>
              <w:spacing w:line="274" w:lineRule="exact"/>
              <w:jc w:val="both"/>
              <w:tabs>
                <w:tab w:val="left" w:pos="902" w:leader="none"/>
              </w:tabs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Конкурс – викторина «Культурные традиции друзей» в 2019 году</w:t>
            </w:r>
            <w:r>
              <w:rPr>
                <w:sz w:val="24"/>
                <w:szCs w:val="24"/>
              </w:rPr>
            </w:r>
          </w:p>
          <w:p>
            <w:pPr>
              <w:ind w:right="19"/>
              <w:spacing w:line="274" w:lineRule="exact"/>
              <w:jc w:val="both"/>
              <w:tabs>
                <w:tab w:val="left" w:pos="902" w:leader="none"/>
              </w:tabs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0" w:hRule="auto"/>
        </w:trPr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right="19"/>
              <w:spacing w:line="274" w:lineRule="exact"/>
              <w:jc w:val="both"/>
              <w:tabs>
                <w:tab w:val="left" w:pos="902" w:leader="none"/>
              </w:tabs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Конкурс театральных представлений «Познаем народы России –познаем себя» в 2021 году:</w:t>
            </w:r>
            <w:r>
              <w:rPr>
                <w:sz w:val="24"/>
                <w:szCs w:val="24"/>
              </w:rPr>
            </w:r>
          </w:p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4,68</w:t>
            </w:r>
          </w:p>
        </w:tc>
      </w:tr>
      <w:tr>
        <w:trPr>
          <w:trHeight w:val="0" w:hRule="auto"/>
        </w:trPr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right="19"/>
              <w:spacing w:line="274" w:lineRule="exact"/>
              <w:jc w:val="both"/>
              <w:tabs>
                <w:tab w:val="left" w:pos="902" w:leader="none"/>
              </w:tabs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Районный конкурс рисунков «Мы вместе!», посвященного международному дню толерантности (16 ноября) 2018 год, 2020 год:</w:t>
            </w:r>
            <w:r>
              <w:rPr>
                <w:sz w:val="24"/>
                <w:szCs w:val="24"/>
              </w:rPr>
            </w:r>
          </w:p>
          <w:p>
            <w:pPr>
              <w:ind w:right="19"/>
              <w:spacing w:line="274" w:lineRule="exact"/>
              <w:jc w:val="both"/>
              <w:tabs>
                <w:tab w:val="left" w:pos="902" w:leader="none"/>
              </w:tabs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rPr>
          <w:trHeight w:val="0" w:hRule="auto"/>
        </w:trPr>
        <w:tc>
          <w:tcPr>
            <w:tcW w:w="32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right="19"/>
              <w:spacing w:line="274" w:lineRule="exact"/>
              <w:jc w:val="both"/>
              <w:tabs>
                <w:tab w:val="left" w:pos="902" w:leader="none"/>
              </w:tabs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Итого:</w:t>
            </w:r>
            <w:r>
              <w:rPr>
                <w:sz w:val="24"/>
                <w:szCs w:val="24"/>
              </w:rPr>
            </w:r>
          </w:p>
        </w:tc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27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6,38</w:t>
            </w:r>
          </w:p>
        </w:tc>
      </w:tr>
      <w:tr>
        <w:trPr>
          <w:trHeight w:val="0" w:hRule="auto"/>
        </w:trPr>
        <w:tc>
          <w:tcPr>
            <w:tcW w:w="932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1 – 27,63 тысяч рублей</w:t>
            </w:r>
          </w:p>
        </w:tc>
      </w:tr>
    </w:tbl>
    <w:p>
      <w:pPr>
        <w:pStyle w:val="ConsPlusNormal"/>
        <w:ind w:firstLine="0"/>
        <w:spacing/>
        <w:jc w:val="center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ConsPlusNormal"/>
        <w:ind w:firstLine="0"/>
        <w:spacing/>
        <w:jc w:val="center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"/>
        <w:numPr>
          <w:ilvl w:val="0"/>
          <w:numId w:val="0"/>
        </w:numPr>
        <w:ind w:left="1080"/>
        <w:spacing w:after="0" w:line="240" w:lineRule="auto"/>
        <w:contextualSpacing/>
        <w:outlineLvl w:val="2"/>
        <w:widowContro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</w:rPr>
        <w:t>. Обеспечение контроля над реализацией Подпрограммы 1</w:t>
      </w:r>
    </w:p>
    <w:p>
      <w:pPr>
        <w:ind w:left="5" w:right="19" w:firstLine="538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  <w:t xml:space="preserve">Отдел социальной работы Администрации Лахденпохского муниципального района обеспечивает реализацию мероприятий Подпрограммы 1 в соответствии с утвержденным объемом финансирования и осуществляет контроль за целевым использованием путем: </w:t>
      </w:r>
    </w:p>
    <w:p>
      <w:pPr>
        <w:ind w:left="5" w:right="19" w:firstLine="538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  <w:t>- отчета о ходе исполнения настоящей Подпрограммы 1 в первом квартале 2018, 2019, 2020, 2021, 2022 годов.</w:t>
      </w:r>
    </w:p>
    <w:p>
      <w:pPr>
        <w:ind w:left="5" w:right="19" w:firstLine="538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  <w:t>ПАСПОРТ  ПОДПРОГРАММЫ 2</w:t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  <w:t>«Профилактика правонарушений»</w:t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 «Профилактика негативных проявлений на территории Лахденпохского муниципального района 2017-2021г.г.»</w:t>
      </w:r>
    </w:p>
    <w:p>
      <w:pPr>
        <w:spacing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jc w:val="left"/>
        <w:tblInd w:w="-108" w:type="dxa"/>
        <w:tblW w:w="9557" w:type="dxa"/>
      </w:tblPr>
      <w:tblGrid>
        <w:gridCol w:w="3222"/>
        <w:gridCol w:w="6335"/>
      </w:tblGrid>
      <w:tr>
        <w:trPr>
          <w:trHeight w:val="0" w:hRule="auto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социальной работы Администрации</w:t>
            </w:r>
          </w:p>
        </w:tc>
      </w:tr>
      <w:tr>
        <w:trPr>
          <w:trHeight w:val="0" w:hRule="auto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«РУО и ДМ»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 преступлений на территории Лахденпохского муниципального района, количества пострадавших.</w:t>
            </w:r>
          </w:p>
        </w:tc>
      </w:tr>
      <w:tr>
        <w:trPr>
          <w:trHeight w:val="0" w:hRule="auto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1.Содействие в проведении мероприятий профилактики правонарушений, направленных на активизацию борьбы с пьянством, алкоголизмом, наркоманией, преступностью, безнадзорностью и беспризорностью несовершеннолетних, на ресоциализацию лиц, освободившихся из мест лишения свободы, и лиц, осужденных к наказаниям, не связанным с изоляцией осужденного от общества;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2.Содействие в проведении мероприятий по выявлению и пресечению административных правонарушений в области защиты Государственной границы РФ и обеспечению режима пребывания иностранных граждан и лиц без гражданства на территории РФ;</w:t>
            </w:r>
          </w:p>
          <w:p>
            <w:pPr>
              <w:ind w:right="110"/>
              <w:spacing/>
              <w:jc w:val="both"/>
              <w:tabs>
                <w:tab w:val="left" w:pos="259" w:leader="none"/>
              </w:tabs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3.Содействие в проведении  мероприятий по обеспечению безопасности людей на водных объектах, охране их жизни и здоровья;</w:t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right="110"/>
              <w:spacing/>
              <w:jc w:val="both"/>
              <w:tabs>
                <w:tab w:val="left" w:pos="259" w:leader="none"/>
              </w:tabs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Содействие в проведении мероприятий по безопасности дорожного движения;</w:t>
            </w:r>
          </w:p>
          <w:p>
            <w:pPr>
              <w:ind w:right="110"/>
              <w:spacing/>
              <w:jc w:val="both"/>
              <w:tabs>
                <w:tab w:val="left" w:pos="259" w:leader="none"/>
              </w:tabs>
              <w:pBdr>
                <w:top w:val="none" w:sz="0" w:space="3" w:color="000000"/>
                <w:left w:val="none" w:sz="0" w:space="3" w:color="000000"/>
                <w:bottom w:val="none" w:sz="0" w:space="3" w:color="000000"/>
                <w:right w:val="none" w:sz="0" w:space="3" w:color="000000"/>
                <w:between w:val="none" w:sz="0" w:space="0" w:color="000000"/>
              </w:pBdr>
              <w:shd w:val="clear" w:color="000000" w:fill="FFFFFF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5. Организация работы по Межведомственному взаимодействию в профилактике правонарушений, преступлений</w:t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left="67"/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преступлений, правонарушений.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результатов реализации подпрограммы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проведенных мероприятий, направленных на профилактику.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Количество, проведенных межведомственных заседаний профилактических направленностей.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доли граждан, вовлеченных в мероприятия, направленных на профилактику.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 уровня преступности в расчете на 100 тысяч жителей.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предприятий и организаций, предоставившие рабочие места, осужденным к наказаниям, не связанных с изоляцией от общества.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-Соотношение трудоустроенных осужденных, приговоренных к обязательным или исправительным работам от общего количества приговоренных к обязательным или исправительным работам.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-Снижение количества человек, зарегистрированных с синдромом зависимости от наркотических веществ.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-Снижение количества несовершеннолетних, состоящих на учете в КДН.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совершенных правонарушений в сфере миграции и в том числе внешней трудовой.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 количества дорожно-транспортных происшествий.</w:t>
            </w:r>
          </w:p>
          <w:p>
            <w:pPr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погибших людей на водоемах.</w:t>
            </w:r>
          </w:p>
        </w:tc>
      </w:tr>
      <w:tr>
        <w:trPr>
          <w:trHeight w:val="0" w:hRule="auto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2017 -2021г.г. без выделения этапов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322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Финансовое обеспечение подпрограммы (тысяч рублей) </w:t>
            </w:r>
          </w:p>
        </w:tc>
        <w:tc>
          <w:tcPr>
            <w:tcW w:w="633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Лахденпохского муниципального района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 107, 782 тыс.руб.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 - 0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2018год- 24,840 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год- 26,157 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год-.27,568 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-29,217 </w:t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</w:p>
    <w:p>
      <w:pPr>
        <w:numPr>
          <w:ilvl w:val="0"/>
          <w:numId w:val="0"/>
        </w:numPr>
        <w:spacing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1. Характеристика проблемы,</w:t>
      </w:r>
    </w:p>
    <w:p>
      <w:pPr>
        <w:numPr>
          <w:ilvl w:val="0"/>
          <w:numId w:val="0"/>
        </w:numPr>
        <w:spacing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на решение которой направлена подпрограмма.</w:t>
      </w:r>
    </w:p>
    <w:p>
      <w:pPr>
        <w:pStyle w:val="ConsPlusNormal"/>
        <w: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 анализе криминогенной обстановки в Лахденпохском муниципальном районе п</w:t>
      </w:r>
      <w:r>
        <w:rPr>
          <w:rFonts w:ascii="Times New Roman" w:hAnsi="Times New Roman" w:cs="Times New Roman"/>
          <w:sz w:val="24"/>
          <w:szCs w:val="24"/>
        </w:rPr>
        <w:t>о итогам декабря 2016 года, отмечается  увеличение числа зарегистрированных  преступлений на 20%. По сравнению с аналогичным периодом прошлого года  их количество  увеличилось с 15 до 18.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567"/>
        <w: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Уровень преступности</w:t>
      </w:r>
      <w:r>
        <w:rPr>
          <w:sz w:val="24"/>
          <w:szCs w:val="24"/>
        </w:rPr>
        <w:t xml:space="preserve"> в расчете на 100 тысяч жителей составил 138,6 преступлений, что выше, чем за аналогичный период прошлого года (115,5). </w:t>
      </w:r>
    </w:p>
    <w:p>
      <w:pPr>
        <w:ind w:firstLine="567"/>
        <w: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Ущерб от совершенных преступлений</w:t>
      </w:r>
      <w:r>
        <w:rPr>
          <w:sz w:val="24"/>
          <w:szCs w:val="24"/>
        </w:rPr>
        <w:t xml:space="preserve"> составил 242  тысячи рублей (АППГ-36 тысяч рублей), его возмещение 26  тысяч рублей (АППГ-7 тысяч рублей), 10,74% от причиненного ущерба (АППГ-7%). </w:t>
      </w:r>
    </w:p>
    <w:p>
      <w:pPr>
        <w:ind w:left="-142" w:right="-1"/>
        <w: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Количество преступлений по административным участкам</w:t>
      </w:r>
    </w:p>
    <w:tbl>
      <w:tblPr>
        <w:jc w:val="left"/>
        <w:tblInd w:w="-108" w:type="dxa"/>
        <w:tblW w:w="9569" w:type="dxa"/>
      </w:tblPr>
      <w:tblGrid>
        <w:gridCol w:w="4644"/>
        <w:gridCol w:w="1134"/>
        <w:gridCol w:w="2127"/>
        <w:gridCol w:w="1664"/>
      </w:tblGrid>
      <w:tr>
        <w:trPr>
          <w:trHeight w:val="0" w:hRule="auto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Административный</w:t>
            </w:r>
          </w:p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+/-</w:t>
            </w:r>
          </w:p>
        </w:tc>
      </w:tr>
      <w:tr>
        <w:trPr>
          <w:trHeight w:val="0" w:hRule="auto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firstLine="426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 (г. Лахденпохья)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+66,6%</w:t>
            </w:r>
          </w:p>
        </w:tc>
      </w:tr>
      <w:tr>
        <w:trPr>
          <w:trHeight w:val="218" w:hRule="atLeast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firstLine="426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 (г. Лахденпохья)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0" w:hRule="auto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firstLine="426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 (г. Лахденпохья, населенные пункты:Ихала,  Лумиваара,  Харвиа, Хаанканмяки, Сикопохья, Уусикюлля)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0" w:hRule="auto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firstLine="426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 (г. Лахденпохья, населенные пункты:Мийнала, Метсямикли, Микли, Нива, Оппола, Кортела, Коккониеми, Пайкъярвинкюля, Парконмяки, Раухала, Сороло)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-100%</w:t>
            </w:r>
          </w:p>
        </w:tc>
      </w:tr>
      <w:tr>
        <w:trPr>
          <w:trHeight w:val="0" w:hRule="auto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firstLine="426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 (населенные пункты:Эстерло, Вялимяки, Кетроваро, Койтонмяки, Аккахарью, Сорио)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-100%</w:t>
            </w:r>
          </w:p>
        </w:tc>
      </w:tr>
      <w:tr>
        <w:trPr>
          <w:trHeight w:val="0" w:hRule="auto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firstLine="426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 (населенные пункты :Алхо, Вятика, Ласанен, Ихоярвенкюля, Отсанлахти, Пелтола, Соскуа, Тервоярви, Терву, Хухтерву)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+100%</w:t>
            </w:r>
          </w:p>
        </w:tc>
      </w:tr>
      <w:tr>
        <w:trPr>
          <w:trHeight w:val="0" w:hRule="auto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firstLine="426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 (населенные пункты:Куликово, Асилан, Тоунан, Ринтала, Ильме, Тиурула, Куянссуо, Хаукаваара)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-100%</w:t>
            </w:r>
          </w:p>
        </w:tc>
      </w:tr>
      <w:tr>
        <w:trPr>
          <w:trHeight w:val="0" w:hRule="auto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firstLine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не определен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ind w:right="-1"/>
              <w: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+200%</w:t>
            </w:r>
          </w:p>
        </w:tc>
      </w:tr>
    </w:tbl>
    <w:p>
      <w:pPr>
        <w:ind w:left="-142" w:right="-1"/>
        <w: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ind w:right="11" w:firstLine="567"/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2"/>
        <w:numPr>
          <w:ilvl w:val="1"/>
          <w:numId w:val="2"/>
        </w:numPr>
        <w:ind w:left="1844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Дорожно-транспортные происшествия по Лахденпохскому району </w:t>
      </w:r>
    </w:p>
    <w:p>
      <w:pPr>
        <w:pStyle w:val="2"/>
        <w:numPr>
          <w:ilvl w:val="0"/>
          <w:numId w:val="0"/>
        </w:numPr>
        <w:ind w:left="1844" w:right="-2" w:firstLine="720"/>
        <w:spacing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По итогам  2015 г. на территории Лахденпохского района по </w:t>
      </w:r>
      <w:r>
        <w:rPr>
          <w:rFonts w:ascii="Times New Roman" w:hAnsi="Times New Roman" w:cs="Times New Roman"/>
          <w:b w:val="0"/>
          <w:i w:val="0"/>
          <w:spacing w:val="-2"/>
          <w:sz w:val="24"/>
          <w:szCs w:val="24"/>
        </w:rPr>
        <w:t>сравнению с АППГ  произошло  равное количества  ДТП с 21 до 21  (0%),  ДДТТ  4 до 4 (0%), при этом  количество раненых   в ДТП возросло с 29 до 26 (+30%),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погибших в ДТП нет (АППГ-0)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</w:r>
    </w:p>
    <w:p>
      <w:pPr>
        <w:pStyle w:val=""/>
        <w:ind w:left="0" w:right="-2"/>
        <w: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состоянию на 31.12.2015 г. </w:t>
      </w:r>
      <w:r>
        <w:rPr>
          <w:sz w:val="24"/>
          <w:szCs w:val="24"/>
        </w:rPr>
        <w:t xml:space="preserve">на территории Лахденпохского муниципального района зарегистрировано   242 (АППГ-298) ДТП, из них подлежат статистическому учету  </w:t>
      </w:r>
      <w:r>
        <w:rPr>
          <w:b/>
          <w:sz w:val="24"/>
          <w:szCs w:val="24"/>
        </w:rPr>
        <w:t>21</w:t>
      </w:r>
      <w:r>
        <w:rPr>
          <w:b/>
          <w:sz w:val="24"/>
          <w:szCs w:val="24"/>
        </w:rPr>
      </w:r>
    </w:p>
    <w:p>
      <w:pPr>
        <w:pStyle w:val=""/>
        <w:ind w:left="0" w:right="-2"/>
        <w: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(АППГ- </w:t>
      </w:r>
      <w:r>
        <w:rPr>
          <w:b/>
          <w:sz w:val="24"/>
          <w:szCs w:val="24"/>
        </w:rPr>
        <w:t>19</w:t>
      </w:r>
      <w:r>
        <w:rPr>
          <w:sz w:val="24"/>
          <w:szCs w:val="24"/>
        </w:rPr>
        <w:t xml:space="preserve">) в которых погибло </w:t>
      </w:r>
      <w:r>
        <w:rPr>
          <w:b/>
          <w:sz w:val="24"/>
          <w:szCs w:val="24"/>
        </w:rPr>
        <w:t xml:space="preserve">1 </w:t>
      </w:r>
      <w:r>
        <w:rPr>
          <w:sz w:val="24"/>
          <w:szCs w:val="24"/>
        </w:rPr>
        <w:t xml:space="preserve">человек (АППГ – </w:t>
      </w:r>
      <w:r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) и </w:t>
      </w:r>
      <w:r>
        <w:rPr>
          <w:b/>
          <w:sz w:val="24"/>
          <w:szCs w:val="24"/>
        </w:rPr>
        <w:t xml:space="preserve">29 </w:t>
      </w:r>
      <w:r>
        <w:rPr>
          <w:sz w:val="24"/>
          <w:szCs w:val="24"/>
        </w:rPr>
        <w:t xml:space="preserve">человек (АППГ- </w:t>
      </w:r>
      <w:r>
        <w:rPr>
          <w:b/>
          <w:sz w:val="24"/>
          <w:szCs w:val="24"/>
        </w:rPr>
        <w:t>26</w:t>
      </w:r>
      <w:r>
        <w:rPr>
          <w:sz w:val="24"/>
          <w:szCs w:val="24"/>
        </w:rPr>
        <w:t>) получили ранения различной степени тяжести</w:t>
      </w:r>
      <w:r>
        <w:rPr>
          <w:b/>
          <w:sz w:val="24"/>
          <w:szCs w:val="24"/>
        </w:rPr>
        <w:t xml:space="preserve">.  </w:t>
      </w:r>
      <w:r>
        <w:rPr>
          <w:b/>
          <w:sz w:val="24"/>
          <w:szCs w:val="24"/>
        </w:rPr>
      </w:r>
    </w:p>
    <w:p>
      <w:pPr>
        <w:spacing/>
        <w:jc w:val="both"/>
      </w:pPr>
      <w:r>
        <w:rPr>
          <w:spacing w:val="7"/>
          <w:sz w:val="24"/>
          <w:szCs w:val="24"/>
        </w:rPr>
        <w:t xml:space="preserve">Таким </w:t>
      </w:r>
      <w:r>
        <w:rPr>
          <w:sz w:val="24"/>
          <w:szCs w:val="24"/>
        </w:rPr>
        <w:t>образом</w:t>
      </w:r>
      <w:r>
        <w:rPr>
          <w:b/>
          <w:sz w:val="24"/>
          <w:szCs w:val="24"/>
        </w:rPr>
        <w:t xml:space="preserve">,  </w:t>
      </w:r>
      <w:r>
        <w:rPr>
          <w:sz w:val="24"/>
          <w:szCs w:val="24"/>
        </w:rPr>
        <w:t xml:space="preserve"> на обслуживаемой территории зарегистрировано рост по количеству ДТП с пострадавшими, включая детский дорожно-транспортный травматизм (с 4 до 4),  исключая  погибших и раненых в ДТП.</w:t>
      </w:r>
      <w:r/>
    </w:p>
    <w:p>
      <w:pPr>
        <w:pStyle w:val=""/>
        <w:ind w:left="-851" w:right="-364"/>
        <w: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Динамика изменения количества ДТП по годам.</w:t>
      </w:r>
    </w:p>
    <w:p>
      <w:pPr>
        <w:pStyle w:val=""/>
        <w:ind w:left="-851" w:right="-364"/>
        <w:spacing/>
        <w:jc w:val="center"/>
        <w:rPr>
          <w:b/>
          <w:sz w:val="24"/>
          <w:szCs w:val="24"/>
        </w:rPr>
      </w:pPr>
      <w:r/>
      <w:r>
        <w:rPr>
          <w:noProof/>
        </w:rPr>
        <w:drawing>
          <wp:inline distT="0" distB="0" distL="0" distR="0">
            <wp:extent cx="6648450" cy="1990725"/>
            <wp:effectExtent l="0" t="0" r="0" b="0"/>
            <wp:docPr id="1" name="Картинка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ртинка1"/>
                    <pic:cNvPicPr>
                      <a:extLst>
                        <a:ext uri="smNativeData">
                          <sm:smNativeData xmlns:sm="smo" val="SMDATA_12_73AAXh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OcAAAAAgAAAAAAAAAAAAAAAAAAAAAAAAAAAAAAAAAAAAAAAAAAAAADmKAAAPwwAAAAAAAAAAAAAAAAAAA=="/>
                        </a:ext>
                      </a:extLst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/>
      <w:r>
        <w:rPr>
          <w:b/>
          <w:sz w:val="24"/>
          <w:szCs w:val="24"/>
        </w:rPr>
        <w:t>( по итогам года полностью)</w:t>
      </w:r>
      <w:r>
        <w:rPr>
          <w:b/>
          <w:sz w:val="24"/>
          <w:szCs w:val="24"/>
        </w:rPr>
      </w:r>
    </w:p>
    <w:p>
      <w:pPr>
        <w:pStyle w:val="ConsPlusNormal"/>
        <w:spacing/>
        <w:jc w:val="center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ConsPlusNormal"/>
        <w:ind w:firstLine="0"/>
        <w:spacing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ConsPlusNormal"/>
        <w:ind w:firstLine="0"/>
        <w:spacing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8"/>
        <w: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numPr>
          <w:ilvl w:val="0"/>
          <w:numId w:val="4"/>
        </w:numPr>
        <w:ind w:left="903" w:hanging="360"/>
        <w: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Цели и задачи подпрограммы 1</w:t>
      </w: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</w:r>
    </w:p>
    <w:p>
      <w:pPr>
        <w:ind w:left="903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"/>
        <w:ind w:firstLine="708"/>
        <w: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целью подпрограммы является: Снижение  уровня  преступлений на территории Лахденпохского муниципального района, количества пострадавших.</w:t>
      </w:r>
    </w:p>
    <w:p>
      <w:pPr>
        <w:pStyle w:val=""/>
        <w: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достижения поставленной цели необходимо решить следующие задачи:1.Содействие в проведении мероприятий профилактики правонарушений, направленных на активизацию борьбы с пьянством, алкоголизмом, наркоманией, преступностью, безнадзорностью и беспризорностью несовершеннолетних, на ресоциализацию лиц, освободившихся из мест лишения свободы, и лиц, осужденных к наказаниям, не связанным с изоляцией осужденного от общества.</w:t>
      </w:r>
    </w:p>
    <w:p>
      <w:pPr>
        <w:pStyle w:val=""/>
        <w: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2.Содействие в проведении мероприятий по выявлению и пресечению административных правонарушений в области защиты Государственной границы РФ и обеспечению режима пребывания иностранных граждан и лиц без гражданства на территории РФ.</w:t>
      </w:r>
    </w:p>
    <w:p>
      <w:pPr>
        <w:pStyle w:val=""/>
        <w: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3.Содействие в проведении  мероприятий по обеспечению безопасности людей на водных объектах, охране их жизни и здоровья.</w:t>
      </w:r>
    </w:p>
    <w:p>
      <w:pPr>
        <w:pStyle w:val=""/>
        <w: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Содействие в проведении  мероприятий по безопасности дорожного движения и снизить количество ДТП на 25%</w:t>
      </w:r>
    </w:p>
    <w:p>
      <w:pPr>
        <w:pStyle w:val=""/>
        <w: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Организация работы по Межведомственному взаимодействию в профилактике правонарушений, преступлений.</w:t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Данная Программа рассчитана на 2017-2021 годы.</w:t>
      </w:r>
    </w:p>
    <w:p>
      <w:pPr>
        <w:numPr>
          <w:ilvl w:val="0"/>
          <w:numId w:val="0"/>
        </w:numPr>
        <w:outlineLvl w:val="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numPr>
          <w:ilvl w:val="0"/>
          <w:numId w:val="4"/>
        </w:numPr>
        <w:ind w:left="903" w:hanging="360"/>
        <w:spacing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Целевые индикаторы  подпрограммы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ConsPlusNormal"/>
        <w:ind w:left="903" w:firstLine="0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ConsPlusNormal"/>
        <w:ind w:firstLine="0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-Снижение уровня преступлений, правонарушений.</w:t>
      </w:r>
    </w:p>
    <w:p>
      <w:pPr>
        <w:pStyle w:val="ConsPlusNormal"/>
        <w:ind w:firstLine="0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ConsPlusNormal"/>
        <w:ind w:firstLine="0"/>
        <w:spacing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Показатели результатов подпрограммы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ConsPlusNormal"/>
        <w:ind w:firstLine="0"/>
        <w:spacing/>
        <w:jc w:val="center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  <w:t>- Количество проведенных мероприятий, направленных на профилактику - увеличение на 50% к уровню 2016 года.</w:t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  <w:t>- Количество, проведенных межведомственных заседаний профилактических направленностей- 40 заседаний в год.</w:t>
      </w:r>
    </w:p>
    <w:p>
      <w:pPr>
        <w:spacing/>
        <w:jc w:val="both"/>
        <w:rPr>
          <w:sz w:val="24"/>
          <w:szCs w:val="24"/>
        </w:rPr>
      </w:pPr>
      <w:r>
        <w:rPr>
          <w:sz w:val="24"/>
          <w:szCs w:val="24"/>
        </w:rPr>
        <w:t>- Увеличение доли граждан, вовлеченных в мероприятия, направленных на профилактику- до 45%.</w:t>
      </w:r>
    </w:p>
    <w:p>
      <w:pPr>
        <w:pStyle w:val="ConsPlusNormal"/>
        <w:ind w:firstLine="0"/>
        <w:spacing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Снижение уровня преступности в расчете на 100 тысяч жителей – до 86,5%.</w:t>
      </w:r>
    </w:p>
    <w:p>
      <w:pPr>
        <w:pStyle w:val="ConsPlusNormal"/>
        <w:ind w:firstLine="0"/>
        <w:spacing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Количество предприятий и организаций, предоставившие рабочие места, осужденным к наказаниям, не связанным с изоляцией от общества- не менее 7 организаций (предприятий).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ConsPlusNormal"/>
        <w:ind w:firstLine="0"/>
        <w:spacing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Соотношение трудоустроенных осужденных, приговоренных к обязательным или исправительным работам от общего количества приговоренных к обязательным или исправительным работам- 100%.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ConsPlusNormal"/>
        <w:ind w:firstLine="0"/>
        <w:spacing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-Снижение количества человек, зарегистрированных с синдромом зависимости от наркотических веществ- на 11% по отношению к 2016 году.</w:t>
      </w:r>
    </w:p>
    <w:p>
      <w:pPr>
        <w:pStyle w:val="ConsPlusNormal"/>
        <w:ind w:firstLine="0"/>
        <w:spacing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-Снижение количества несовершеннолетних, состоящих на учете в КДН – на 25 % по отношению к 2016 году.</w:t>
      </w:r>
    </w:p>
    <w:p>
      <w:pPr>
        <w:pStyle w:val="ConsPlusNormal"/>
        <w:ind w:firstLine="0"/>
        <w:spacing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совершенных правонарушений в сфере миграции и в том числе внешней трудовой- 0.</w:t>
      </w:r>
    </w:p>
    <w:p>
      <w:pPr>
        <w:pStyle w:val="ConsPlusNormal"/>
        <w:ind w:firstLine="0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Снижение количества дорожно-транспортных происшествий на 15% по отношению к 2016 году.</w:t>
      </w:r>
    </w:p>
    <w:p>
      <w:pPr>
        <w:pStyle w:val="ConsPlusNormal"/>
        <w:ind w:firstLine="0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погибших людей на водоемах-0.</w:t>
      </w:r>
    </w:p>
    <w:p>
      <w:pPr>
        <w:pStyle w:val=""/>
        <w:numPr>
          <w:ilvl w:val="0"/>
          <w:numId w:val="0"/>
        </w:numPr>
        <w:ind w:left="1080"/>
        <w:spacing w:after="0" w:line="240" w:lineRule="auto"/>
        <w:contextualSpacing/>
        <w:outlineLvl w:val="1"/>
        <w:widowContro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</w:t>
      </w:r>
      <w:r>
        <w:rPr>
          <w:rFonts w:ascii="Times New Roman" w:hAnsi="Times New Roman"/>
          <w:b/>
          <w:sz w:val="24"/>
          <w:szCs w:val="24"/>
        </w:rPr>
        <w:t xml:space="preserve">бъем финансовых ресурсов, необходимых для реализации </w:t>
      </w:r>
    </w:p>
    <w:p>
      <w:pPr>
        <w:pStyle w:val=""/>
        <w:numPr>
          <w:ilvl w:val="0"/>
          <w:numId w:val="0"/>
        </w:numPr>
        <w:ind w:left="1080"/>
        <w:spacing w:after="0" w:line="240" w:lineRule="auto"/>
        <w:jc w:val="center"/>
        <w:outlineLvl w:val="1"/>
        <w:widowContro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Подпрограммы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ConsPlusNormal"/>
        <w:ind w:firstLine="0"/>
        <w:spacing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W w:w="9638" w:type="dxa"/>
      </w:tblPr>
      <w:tblGrid>
        <w:gridCol w:w="1659"/>
        <w:gridCol w:w="1755"/>
        <w:gridCol w:w="1538"/>
        <w:gridCol w:w="1536"/>
        <w:gridCol w:w="1557"/>
        <w:gridCol w:w="1593"/>
      </w:tblGrid>
      <w:tr>
        <w:trPr>
          <w:trHeight w:val="0" w:hRule="auto"/>
        </w:trPr>
        <w:tc>
          <w:tcPr>
            <w:tcW w:w="1659" w:type="dxa"/>
            <w:vMerge w:val="restart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7979" w:type="dxa"/>
            <w:gridSpan w:val="5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руб.</w:t>
            </w:r>
          </w:p>
        </w:tc>
      </w:tr>
      <w:tr>
        <w:trPr>
          <w:trHeight w:val="0" w:hRule="auto"/>
        </w:trPr>
        <w:tc>
          <w:tcPr>
            <w:tcW w:w="1659" w:type="dxa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/>
        </w:tc>
        <w:tc>
          <w:tcPr>
            <w:tcW w:w="1755" w:type="dxa"/>
            <w:vMerge w:val="restart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средства, всего, тыс.руб.</w:t>
            </w:r>
          </w:p>
        </w:tc>
        <w:tc>
          <w:tcPr>
            <w:tcW w:w="6224" w:type="dxa"/>
            <w:gridSpan w:val="4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>
        <w:trPr>
          <w:trHeight w:val="0" w:hRule="auto"/>
        </w:trPr>
        <w:tc>
          <w:tcPr>
            <w:tcW w:w="1659" w:type="dxa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/>
        </w:tc>
        <w:tc>
          <w:tcPr>
            <w:tcW w:w="1755" w:type="dxa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/>
        </w:tc>
        <w:tc>
          <w:tcPr>
            <w:tcW w:w="1538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536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РК</w:t>
            </w:r>
          </w:p>
        </w:tc>
        <w:tc>
          <w:tcPr>
            <w:tcW w:w="1557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ЛМР</w:t>
            </w:r>
          </w:p>
        </w:tc>
        <w:tc>
          <w:tcPr>
            <w:tcW w:w="1593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</w:tr>
      <w:tr>
        <w:trPr>
          <w:trHeight w:val="0" w:hRule="auto"/>
        </w:trPr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 весь период</w:t>
            </w:r>
          </w:p>
        </w:tc>
        <w:tc>
          <w:tcPr>
            <w:tcW w:w="1755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107,782</w:t>
            </w:r>
          </w:p>
        </w:tc>
        <w:tc>
          <w:tcPr>
            <w:tcW w:w="1538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3" w:type="dxa"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0" w:hRule="auto"/>
        </w:trPr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7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7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24,840 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24,840 </w:t>
            </w:r>
          </w:p>
        </w:tc>
        <w:tc>
          <w:tcPr>
            <w:tcW w:w="15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7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26,157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26,157</w:t>
            </w:r>
          </w:p>
        </w:tc>
        <w:tc>
          <w:tcPr>
            <w:tcW w:w="15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7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27,568 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27,568 </w:t>
            </w:r>
          </w:p>
        </w:tc>
        <w:tc>
          <w:tcPr>
            <w:tcW w:w="15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0" w:hRule="auto"/>
        </w:trPr>
        <w:tc>
          <w:tcPr>
            <w:tcW w:w="165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7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29,217</w:t>
            </w:r>
          </w:p>
        </w:tc>
        <w:tc>
          <w:tcPr>
            <w:tcW w:w="153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29,217</w:t>
            </w:r>
          </w:p>
        </w:tc>
        <w:tc>
          <w:tcPr>
            <w:tcW w:w="159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ConsPlusNormal"/>
              <w:ind w:firstLine="0"/>
              <w:spacing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"/>
        <w:numPr>
          <w:ilvl w:val="0"/>
          <w:numId w:val="0"/>
        </w:numPr>
        <w:ind w:left="1080"/>
        <w:spacing w:after="0" w:line="240" w:lineRule="auto"/>
        <w:contextualSpacing/>
        <w:outlineLvl w:val="2"/>
        <w:widowContro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5.Обеспечение контроля над реализацией Подпрограммы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5" w:right="19" w:firstLine="538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  <w:t>Отдел социальной работы Администрации Лахденпохского муниципального района обеспечивает реализацию мероприятий Подпрограммы 1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в соответствии с утвержденным объемом финансирования и осуществляет контроль за целевым использованием путем: </w:t>
      </w:r>
      <w:r>
        <w:rPr>
          <w:sz w:val="24"/>
          <w:szCs w:val="24"/>
        </w:rPr>
      </w:r>
    </w:p>
    <w:p>
      <w:pPr>
        <w:ind w:left="5" w:right="19" w:firstLine="538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  <w:t>- отчета о ходе исполнения настоящей Подпрограммы 1 в первом квартале 2018, 2019, 2020, 2021, 2022 годов.</w:t>
      </w:r>
    </w:p>
    <w:p>
      <w:pPr>
        <w:ind w:left="5" w:right="19" w:firstLine="538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right="19"/>
        <w:spacing w:line="274" w:lineRule="exact"/>
        <w:jc w:val="both"/>
        <w:tabs>
          <w:tab w:val="left" w:pos="902" w:leader="none"/>
        </w:tabs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headerReference w:type="default" r:id="rId8"/>
          <w:type w:val="nextPage"/>
          <w:pgSz w:h="16838" w:w="11906"/>
          <w:pgMar w:left="1995" w:top="851" w:right="573" w:bottom="720" w:header="720"/>
          <w:paperSrc w:first="0" w:other="0"/>
          <w:tmSection w:h="-1"/>
        </w:sectPr>
      </w:pPr>
    </w:p>
    <w:tbl>
      <w:tblPr>
        <w:jc w:val="left"/>
        <w:tblInd w:w="-214" w:type="dxa"/>
        <w:tblW w:w="14740" w:type="dxa"/>
      </w:tblPr>
      <w:tblGrid>
        <w:gridCol w:w="4877"/>
        <w:gridCol w:w="4879"/>
        <w:gridCol w:w="4984"/>
      </w:tblGrid>
      <w:tr>
        <w:trPr>
          <w:trHeight w:val="0" w:hRule="auto"/>
        </w:trPr>
        <w:tc>
          <w:tcPr>
            <w:tcW w:w="487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 w:line="20" w:lineRule="atLeast"/>
            </w:pPr>
            <w:r/>
          </w:p>
        </w:tc>
        <w:tc>
          <w:tcPr>
            <w:tcW w:w="48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 w:line="20" w:lineRule="atLeast"/>
            </w:pPr>
            <w:r/>
          </w:p>
        </w:tc>
        <w:tc>
          <w:tcPr>
            <w:tcW w:w="498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>
            <w:pPr>
              <w:spacing w:line="20" w:lineRule="atLeast"/>
            </w:pPr>
            <w:r/>
          </w:p>
          <w:p>
            <w:pPr>
              <w:spacing w:line="20" w:lineRule="atLeast"/>
              <w:jc w:val="center"/>
            </w:pPr>
            <w:r/>
          </w:p>
          <w:p>
            <w:pPr>
              <w:spacing w:line="20" w:lineRule="atLeast"/>
              <w:jc w:val="center"/>
            </w:pPr>
            <w:r/>
          </w:p>
          <w:p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5</w:t>
            </w:r>
          </w:p>
          <w:p>
            <w:pPr>
              <w:spacing w:line="20" w:lineRule="atLeast"/>
              <w:jc w:val="center"/>
            </w:pPr>
            <w:r/>
          </w:p>
        </w:tc>
      </w:tr>
    </w:tbl>
    <w:p>
      <w:pPr>
        <w:spacing w:line="20" w:lineRule="atLeast"/>
      </w:pPr>
      <w:r/>
    </w:p>
    <w:p>
      <w:pPr>
        <w:spacing w:line="20" w:lineRule="atLeast"/>
        <w:jc w:val="center"/>
        <w:rPr>
          <w:b/>
          <w:bCs/>
        </w:rPr>
      </w:pPr>
      <w:r>
        <w:rPr>
          <w:b/>
          <w:bCs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6838" w:w="11906"/>
      <w:pgMar w:left="1995" w:top="851" w:right="573" w:bottom="720"/>
      <w:paperSrc w:first="0" w:other="0"/>
      <w:tmSection w:h="-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roman"/>
    <w:pitch w:val="default"/>
  </w:font>
  <w:font w:name="Symbol">
    <w:panose1 w:val="05050102010706020507"/>
    <w:charset w:val="02"/>
    <w:family w:val="roman"/>
    <w:pitch w:val="default"/>
  </w:font>
  <w:font w:name="Liberation Serif">
    <w:panose1 w:val="02020603050405020304"/>
    <w:charset w:val="cc"/>
    <w:family w:val="roman"/>
    <w:pitch w:val="default"/>
  </w:font>
  <w:font w:name="Calibri">
    <w:panose1 w:val="020F0502020204030204"/>
    <w:charset w:val="cc"/>
    <w:family w:val="roman"/>
    <w:pitch w:val="default"/>
  </w:font>
  <w:font w:name="Tahoma">
    <w:panose1 w:val="020B0604030504040204"/>
    <w:charset w:val="cc"/>
    <w:family w:val="roman"/>
    <w:pitch w:val="default"/>
  </w:font>
  <w:font w:name="Consolas">
    <w:panose1 w:val="020B0609020204030204"/>
    <w:charset w:val="cc"/>
    <w:family w:val="roman"/>
    <w:pitch w:val="default"/>
  </w:font>
  <w:font w:name="Liberation Sans">
    <w:panose1 w:val="020B0604020202020204"/>
    <w:charset w:val="cc"/>
    <w:family w:val="roman"/>
    <w:pitch w:val="default"/>
  </w:font>
  <w:font w:name="Verdana">
    <w:panose1 w:val="020B0604030504040204"/>
    <w:charset w:val="cc"/>
    <w:family w:val="roman"/>
    <w:pitch w:val="default"/>
  </w:font>
  <w:font w:name="Courier New">
    <w:panose1 w:val="02070309020205020404"/>
    <w:charset w:val="cc"/>
    <w:family w:val="roman"/>
    <w:pitch w:val="default"/>
  </w:font>
  <w:font w:name="Baltica">
    <w:panose1 w:val="02020603050405020304"/>
    <w:charset w:val="cc"/>
    <w:family w:val="roman"/>
    <w:pitch w:val="default"/>
  </w:font>
  <w:font w:name="Microsoft YaHei">
    <w:panose1 w:val="020B0503020204020204"/>
    <w:charset w:val="cc"/>
    <w:family w:val="swiss"/>
    <w:pitch w:val="default"/>
  </w:font>
  <w:font w:name="Mangal">
    <w:panose1 w:val="02040503050203030202"/>
    <w:charset w:val="00"/>
    <w:family w:val="roman"/>
    <w:pitch w:val="default"/>
  </w:font>
  <w:font w:name="Cambria">
    <w:panose1 w:val="02040503050406030204"/>
    <w:charset w:val="cc"/>
    <w:family w:val="roman"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"/>
      <w:spacing/>
      <w:jc w:val="center"/>
    </w:pPr>
    <w:r>
      <w:fldChar w:fldCharType="begin"/>
      <w:instrText xml:space="preserve"> PAGE \* Arabic </w:instrText>
      <w:fldChar w:fldCharType="separate"/>
      <w:t>6</w:t>
      <w:fldChar w:fldCharType="end"/>
    </w:r>
  </w:p>
  <w:p>
    <w:pPr>
      <w:pStyle w:val=""/>
    </w:pPr>
    <w:r/>
  </w:p>
  <w:p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multilevel"/>
    <w:name w:val="Нумерованный список 1"/>
    <w:lvl w:ilvl="0">
      <w:start w:val="1"/>
      <w:numFmt w:val="upperRoman"/>
      <w:pStyle w:val="1"/>
      <w:suff w:val="tab"/>
      <w:lvlText w:val="%1."/>
      <w:lvlJc w:val="left"/>
      <w:pPr>
        <w:ind w:left="1134" w:hanging="0"/>
      </w:pPr>
      <w:rPr/>
    </w:lvl>
    <w:lvl w:ilvl="1">
      <w:start w:val="1"/>
      <w:numFmt w:val="decimal"/>
      <w:pStyle w:val="2"/>
      <w:suff w:val="tab"/>
      <w:lvlText w:val="%1.%2."/>
      <w:lvlJc w:val="left"/>
      <w:pPr>
        <w:ind w:left="993" w:hanging="0"/>
      </w:pPr>
      <w:rPr/>
    </w:lvl>
    <w:lvl w:ilvl="2">
      <w:start w:val="1"/>
      <w:numFmt w:val="decimal"/>
      <w:pStyle w:val="3"/>
      <w:suff w:val="tab"/>
      <w:lvlText w:val="%1.%2.%3."/>
      <w:lvlJc w:val="left"/>
      <w:pPr>
        <w:ind w:left="1134" w:hanging="0"/>
      </w:pPr>
      <w:rPr/>
    </w:lvl>
    <w:lvl w:ilvl="3">
      <w:start w:val="1"/>
      <w:numFmt w:val="decimal"/>
      <w:pStyle w:val="4"/>
      <w:suff w:val="tab"/>
      <w:lvlText w:val="%1.%2.%3.%4."/>
      <w:lvlJc w:val="left"/>
      <w:pPr>
        <w:ind w:left="1134" w:hanging="0"/>
      </w:pPr>
      <w:rPr/>
    </w:lvl>
    <w:lvl w:ilvl="4">
      <w:start w:val="1"/>
      <w:numFmt w:val="none"/>
      <w:suff w:val="nothing"/>
      <w:lvlText w:val=""/>
      <w:lvlJc w:val="left"/>
      <w:pPr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ind w:left="0" w:hanging="0"/>
      </w:pPr>
      <w:rPr/>
    </w:lvl>
  </w:abstractNum>
  <w:abstractNum w:abstractNumId="2">
    <w:multiLevelType w:val="multilevel"/>
    <w:name w:val="Нумерованный список 2"/>
    <w:lvl w:ilvl="0">
      <w:start w:val="1"/>
      <w:numFmt w:val="upperRoman"/>
      <w:suff w:val="tab"/>
      <w:lvlText w:val="%1."/>
      <w:lvlJc w:val="left"/>
      <w:pPr>
        <w:ind w:left="1134" w:hanging="0"/>
      </w:pPr>
      <w:rPr/>
    </w:lvl>
    <w:lvl w:ilvl="1">
      <w:start w:val="1"/>
      <w:numFmt w:val="decimal"/>
      <w:suff w:val="tab"/>
      <w:lvlText w:val="%1.%2."/>
      <w:lvlJc w:val="left"/>
      <w:pPr>
        <w:ind w:left="993" w:hanging="0"/>
      </w:pPr>
      <w:rPr/>
    </w:lvl>
    <w:lvl w:ilvl="2">
      <w:start w:val="1"/>
      <w:numFmt w:val="decimal"/>
      <w:suff w:val="tab"/>
      <w:lvlText w:val="%1.%2.%3."/>
      <w:lvlJc w:val="left"/>
      <w:pPr>
        <w:ind w:left="1134" w:hanging="0"/>
      </w:pPr>
      <w:rPr/>
    </w:lvl>
    <w:lvl w:ilvl="3">
      <w:start w:val="1"/>
      <w:numFmt w:val="decimal"/>
      <w:suff w:val="tab"/>
      <w:lvlText w:val="%1.%2.%3.%4."/>
      <w:lvlJc w:val="left"/>
      <w:pPr>
        <w:ind w:left="1134" w:hanging="0"/>
      </w:pPr>
      <w:rPr/>
    </w:lvl>
    <w:lvl w:ilvl="4">
      <w:start w:val="1"/>
      <w:numFmt w:val="decimal"/>
      <w:suff w:val="tab"/>
      <w:lvlText w:val="%1.%2.%3.%4.%5."/>
      <w:lvlJc w:val="left"/>
      <w:pPr>
        <w:ind w:left="1755" w:hanging="0"/>
      </w:pPr>
      <w:rPr/>
    </w:lvl>
    <w:lvl w:ilvl="5">
      <w:start w:val="1"/>
      <w:numFmt w:val="decimal"/>
      <w:suff w:val="tab"/>
      <w:lvlText w:val="%1.%2.%3.%4.%5.%6."/>
      <w:lvlJc w:val="left"/>
      <w:pPr>
        <w:ind w:left="1962" w:hanging="0"/>
      </w:pPr>
      <w:rPr/>
    </w:lvl>
    <w:lvl w:ilvl="6">
      <w:start w:val="1"/>
      <w:numFmt w:val="decimal"/>
      <w:suff w:val="tab"/>
      <w:lvlText w:val="%1.%2.%3.%4.%5.%6.%7."/>
      <w:lvlJc w:val="left"/>
      <w:pPr>
        <w:ind w:left="2169" w:hanging="0"/>
      </w:pPr>
      <w:rPr/>
    </w:lvl>
    <w:lvl w:ilvl="7">
      <w:start w:val="1"/>
      <w:numFmt w:val="decimal"/>
      <w:suff w:val="tab"/>
      <w:lvlText w:val="%1.%2.%3.%4.%5.%6.%7.%8."/>
      <w:lvlJc w:val="left"/>
      <w:pPr>
        <w:ind w:left="2376" w:hanging="0"/>
      </w:pPr>
      <w:rPr/>
    </w:lvl>
    <w:lvl w:ilvl="8">
      <w:start w:val="1"/>
      <w:numFmt w:val="decimal"/>
      <w:suff w:val="tab"/>
      <w:lvlText w:val="%1.%2.%3.%4.%5.%6.%7.%8.%9."/>
      <w:lvlJc w:val="left"/>
      <w:pPr>
        <w:ind w:left="2583" w:hanging="0"/>
      </w:pPr>
      <w:rPr/>
    </w:lvl>
  </w:abstractNum>
  <w:abstractNum w:abstractNumId="3">
    <w:multiLevelType w:val="multilevel"/>
    <w:name w:val="Нумерованный список 3"/>
    <w:lvl w:ilvl="0">
      <w:start w:val="1"/>
      <w:numFmt w:val="decimal"/>
      <w:suff w:val="tab"/>
      <w:lvlText w:val="%1.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4">
    <w:multiLevelType w:val="multilevel"/>
    <w:name w:val="Нумерованный список 4"/>
    <w:lvl w:ilvl="0">
      <w:start w:val="1"/>
      <w:numFmt w:val="decimal"/>
      <w:suff w:val="tab"/>
      <w:lvlText w:val="%1."/>
      <w:lvlJc w:val="left"/>
      <w:pPr>
        <w:ind w:left="543" w:hanging="0"/>
      </w:pPr>
      <w:rPr/>
    </w:lvl>
    <w:lvl w:ilvl="1">
      <w:start w:val="5"/>
      <w:numFmt w:val="decimal"/>
      <w:suff w:val="tab"/>
      <w:lvlText w:val="%1.%2."/>
      <w:lvlJc w:val="left"/>
      <w:pPr>
        <w:ind w:left="543" w:hanging="0"/>
      </w:pPr>
      <w:rPr/>
    </w:lvl>
    <w:lvl w:ilvl="2">
      <w:start w:val="1"/>
      <w:numFmt w:val="decimal"/>
      <w:suff w:val="tab"/>
      <w:lvlText w:val="%1.%2.%3."/>
      <w:lvlJc w:val="left"/>
      <w:pPr>
        <w:ind w:left="543" w:hanging="0"/>
      </w:pPr>
      <w:rPr/>
    </w:lvl>
    <w:lvl w:ilvl="3">
      <w:start w:val="1"/>
      <w:numFmt w:val="decimal"/>
      <w:suff w:val="tab"/>
      <w:lvlText w:val="%1.%2.%3.%4."/>
      <w:lvlJc w:val="left"/>
      <w:pPr>
        <w:ind w:left="543" w:hanging="0"/>
      </w:pPr>
      <w:rPr/>
    </w:lvl>
    <w:lvl w:ilvl="4">
      <w:start w:val="1"/>
      <w:numFmt w:val="decimal"/>
      <w:suff w:val="tab"/>
      <w:lvlText w:val="%1.%2.%3.%4.%5."/>
      <w:lvlJc w:val="left"/>
      <w:pPr>
        <w:ind w:left="543" w:hanging="0"/>
      </w:pPr>
      <w:rPr/>
    </w:lvl>
    <w:lvl w:ilvl="5">
      <w:start w:val="1"/>
      <w:numFmt w:val="decimal"/>
      <w:suff w:val="tab"/>
      <w:lvlText w:val="%1.%2.%3.%4.%5.%6."/>
      <w:lvlJc w:val="left"/>
      <w:pPr>
        <w:ind w:left="543" w:hanging="0"/>
      </w:pPr>
      <w:rPr/>
    </w:lvl>
    <w:lvl w:ilvl="6">
      <w:start w:val="1"/>
      <w:numFmt w:val="decimal"/>
      <w:suff w:val="tab"/>
      <w:lvlText w:val="%1.%2.%3.%4.%5.%6.%7."/>
      <w:lvlJc w:val="left"/>
      <w:pPr>
        <w:ind w:left="543" w:hanging="0"/>
      </w:pPr>
      <w:rPr/>
    </w:lvl>
    <w:lvl w:ilvl="7">
      <w:start w:val="1"/>
      <w:numFmt w:val="decimal"/>
      <w:suff w:val="tab"/>
      <w:lvlText w:val="%1.%2.%3.%4.%5.%6.%7.%8."/>
      <w:lvlJc w:val="left"/>
      <w:pPr>
        <w:ind w:left="543" w:hanging="0"/>
      </w:pPr>
      <w:rPr/>
    </w:lvl>
    <w:lvl w:ilvl="8">
      <w:start w:val="1"/>
      <w:numFmt w:val="decimal"/>
      <w:suff w:val="tab"/>
      <w:lvlText w:val="%1.%2.%3.%4.%5.%6.%7.%8.%9."/>
      <w:lvlJc w:val="left"/>
      <w:pPr>
        <w:ind w:left="543" w:hanging="0"/>
      </w:pPr>
      <w:rPr/>
    </w:lvl>
  </w:abstractNum>
  <w:abstractNum w:abstractNumId="5">
    <w:multiLevelType w:val="singleLevel"/>
    <w:name w:val="Bullet 5"/>
    <w:lvl w:ilvl="0">
      <w:start w:val="1"/>
      <w:numFmt w:val="upp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6">
    <w:multiLevelType w:val="singleLevel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7">
    <w:multiLevelType w:val="singleLevel"/>
    <w:name w:val="Bullet 7"/>
    <w:lvl w:ilvl="0">
      <w:start w:val="1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8">
    <w:multiLevelType w:val="singleLevel"/>
    <w:name w:val="Bullet 8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9">
    <w:multiLevelType w:val="singleLevel"/>
    <w:name w:val="Bullet 9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0">
    <w:multiLevelType w:val="singleLevel"/>
    <w:name w:val="Bullet 10"/>
    <w:lvl w:ilvl="0">
      <w:start w:val="5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0"/>
  <w:doNotShadeFormData w:val="0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2049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6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4"/>
    <w:tmLastPosSelect w:val="0"/>
    <w:tmLastPosFrameIdx w:val="0"/>
    <w:tmLastPosCaret>
      <w:tmLastPosPgfIdx w:val="78"/>
      <w:tmLastPosIdx w:val="19"/>
    </w:tmLastPosCaret>
    <w:tmLastPosAnchor>
      <w:tmLastPosPgfIdx w:val="0"/>
      <w:tmLastPosIdx w:val="0"/>
    </w:tmLastPosAnchor>
    <w:tmLastPosTblRect w:left="0" w:top="0" w:right="0" w:bottom="0"/>
    <w:tmAppRevision w:date="1577087215" w:val="70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color w:val="00000a"/>
        <w:kern w:val="1"/>
        <w:sz w:val="20"/>
        <w:szCs w:val="2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1">
    <w:name w:val="heading 1"/>
    <w:qFormat/>
    <w:basedOn w:val=""/>
    <w:pPr>
      <w:numPr>
        <w:ilvl w:val="0"/>
        <w:numId w:val="1"/>
      </w:numPr>
      <w:ind w:left="1985" w:hanging="851"/>
      <w:spacing/>
      <w:jc w:val="both"/>
      <w:keepNext/>
      <w:outlineLvl w:val="0"/>
      <w:widowControl/>
    </w:pPr>
    <w:rPr>
      <w:b/>
      <w:bCs/>
      <w:sz w:val="24"/>
      <w:szCs w:val="24"/>
    </w:rPr>
  </w:style>
  <w:style w:type="paragraph" w:styleId="2">
    <w:name w:val="heading 2"/>
    <w:qFormat/>
    <w:basedOn w:val=""/>
    <w:pPr>
      <w:numPr>
        <w:ilvl w:val="1"/>
        <w:numId w:val="1"/>
      </w:numPr>
      <w:ind w:left="1844" w:hanging="851"/>
      <w:spacing w:before="240" w:after="60"/>
      <w:keepNext/>
      <w:outlineLvl w:val="1"/>
      <w:widowControl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qFormat/>
    <w:basedOn w:val=""/>
    <w:pPr>
      <w:numPr>
        <w:ilvl w:val="2"/>
        <w:numId w:val="1"/>
      </w:numPr>
      <w:ind w:left="851" w:firstLine="283"/>
      <w:spacing w:before="240" w:after="60"/>
      <w:keepNext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qFormat/>
    <w:basedOn w:val=""/>
    <w:pPr>
      <w:numPr>
        <w:ilvl w:val="3"/>
        <w:numId w:val="1"/>
      </w:numPr>
      <w:ind w:left="1985" w:hanging="851"/>
      <w:spacing w:before="240" w:after="60"/>
      <w:keepNext/>
      <w:outlineLvl w:val="3"/>
      <w:widowControl/>
    </w:pPr>
    <w:rPr>
      <w:b/>
      <w:bCs/>
      <w:sz w:val="28"/>
      <w:szCs w:val="28"/>
    </w:rPr>
  </w:style>
  <w:style w:type="paragraph" w:styleId="5">
    <w:name w:val="heading 5"/>
    <w:qFormat/>
    <w:basedOn w:val="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qFormat/>
    <w:basedOn w:val="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qFormat/>
    <w:basedOn w:val="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" w:customStyle="1">
    <w:name w:val="Заголовок"/>
    <w:qFormat/>
    <w:basedOn w:val=""/>
    <w:next w:val="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">
    <w:name w:val="Body Text"/>
    <w:qFormat/>
    <w:basedOn w:val=""/>
    <w:pPr>
      <w:ind w:hanging="280"/>
      <w:spacing w:before="900" w:line="475" w:lineRule="exact"/>
      <w:jc w:val="both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FFFFFF"/>
    </w:pPr>
    <w:rPr>
      <w:rFonts w:ascii="Calibri" w:hAnsi="Calibri" w:cs="Calibri"/>
      <w:sz w:val="28"/>
      <w:szCs w:val="28"/>
    </w:rPr>
  </w:style>
  <w:style w:type="paragraph" w:styleId="">
    <w:name w:val="List"/>
    <w:qFormat/>
    <w:basedOn w:val=""/>
    <w:rPr>
      <w:rFonts w:cs="Mangal"/>
    </w:rPr>
  </w:style>
  <w:style w:type="paragraph" w:styleId="">
    <w:name w:val="caption"/>
    <w:qFormat/>
    <w:basedOn w:val=""/>
    <w:pPr>
      <w:spacing w:before="120" w:after="120"/>
    </w:pPr>
    <w:rPr>
      <w:rFonts w:cs="Mangal"/>
      <w:i/>
      <w:iCs/>
      <w:sz w:val="24"/>
      <w:szCs w:val="24"/>
    </w:rPr>
  </w:style>
  <w:style w:type="paragraph" w:styleId="">
    <w:name w:val="Index Heading"/>
    <w:qFormat/>
    <w:basedOn w:val=""/>
    <w:rPr>
      <w:rFonts w:cs="Mangal"/>
    </w:rPr>
  </w:style>
  <w:style w:type="paragraph" w:styleId="">
    <w:name w:val="Balloon Text"/>
    <w:qFormat/>
    <w:basedOn w:val=""/>
    <w:rPr>
      <w:rFonts w:ascii="Tahoma" w:hAnsi="Tahoma" w:cs="Tahoma"/>
      <w:sz w:val="16"/>
      <w:szCs w:val="16"/>
    </w:rPr>
  </w:style>
  <w:style w:type="paragraph" w:styleId="5" w:customStyle="1">
    <w:name w:val="Знак Знак5 Знак Знак Знак"/>
    <w:qFormat/>
    <w:basedOn w:val=""/>
    <w:pPr>
      <w:spacing w:after="160" w:line="240" w:lineRule="exact"/>
      <w:widowControl/>
    </w:pPr>
    <w:rPr>
      <w:rFonts w:ascii="Verdana" w:hAnsi="Verdana" w:cs="Verdana"/>
      <w:lang w:val="en-us"/>
    </w:rPr>
  </w:style>
  <w:style w:type="paragraph" w:styleId="()" w:customStyle="1">
    <w:name w:val="Таблицы (моноширинный)"/>
    <w:qFormat/>
    <w:basedOn w:val=""/>
    <w:pPr>
      <w:spacing/>
      <w:jc w:val="both"/>
    </w:pPr>
    <w:rPr>
      <w:rFonts w:ascii="Courier New" w:hAnsi="Courier New" w:cs="Courier New"/>
      <w:sz w:val="22"/>
      <w:szCs w:val="22"/>
    </w:rPr>
  </w:style>
  <w:style w:type="paragraph" w:styleId="" w:customStyle="1">
    <w:name w:val="Прижатый влево"/>
    <w:qFormat/>
    <w:basedOn w:val=""/>
    <w:rPr>
      <w:rFonts w:ascii="Arial" w:hAnsi="Arial" w:cs="Arial"/>
      <w:sz w:val="24"/>
      <w:szCs w:val="24"/>
    </w:rPr>
  </w:style>
  <w:style w:type="paragraph" w:styleId="()" w:customStyle="1">
    <w:name w:val="Нормальный (таблица)"/>
    <w:qFormat/>
    <w:basedOn w:val=""/>
    <w:pPr>
      <w:spacing/>
      <w:jc w:val="both"/>
    </w:pPr>
    <w:rPr>
      <w:rFonts w:ascii="Arial" w:hAnsi="Arial" w:cs="Arial"/>
      <w:sz w:val="24"/>
      <w:szCs w:val="24"/>
    </w:rPr>
  </w:style>
  <w:style w:type="paragraph" w:styleId="ConsPlusCell" w:customStyle="1">
    <w:name w:val="ConsPlusCell"/>
    <w:qFormat/>
    <w:rPr>
      <w:rFonts w:ascii="Arial" w:hAnsi="Arial" w:cs="Arial"/>
    </w:rPr>
  </w:style>
  <w:style w:type="paragraph" w:styleId="()">
    <w:name w:val="Normal (Web)"/>
    <w:qFormat/>
    <w:basedOn w:val=""/>
    <w:pPr>
      <w:spacing w:beforeAutospacing="1" w:afterAutospacing="1"/>
      <w:widowControl/>
    </w:pPr>
    <w:rPr>
      <w:sz w:val="24"/>
      <w:szCs w:val="24"/>
    </w:rPr>
  </w:style>
  <w:style w:type="paragraph" w:styleId="ConsPlusNormal" w:customStyle="1">
    <w:name w:val="ConsPlusNormal"/>
    <w:qFormat/>
    <w:pPr>
      <w:ind w:firstLine="720"/>
    </w:pPr>
    <w:rPr>
      <w:rFonts w:ascii="Arial" w:hAnsi="Arial" w:cs="Arial"/>
    </w:rPr>
  </w:style>
  <w:style w:type="paragraph" w:styleId="1" w:customStyle="1">
    <w:name w:val="Абзац списка1"/>
    <w:qFormat/>
    <w:basedOn w:val=""/>
    <w:pPr>
      <w:ind w:left="720"/>
      <w:spacing w:after="200" w:line="276" w:lineRule="auto"/>
      <w:widowControl/>
    </w:pPr>
    <w:rPr>
      <w:rFonts w:ascii="Calibri" w:hAnsi="Calibri" w:cs="Calibri"/>
      <w:sz w:val="22"/>
      <w:szCs w:val="22"/>
    </w:rPr>
  </w:style>
  <w:style w:type="paragraph" w:styleId="2" w:customStyle="1">
    <w:name w:val="Знак Знак Знак Знак2"/>
    <w:qFormat/>
    <w:basedOn w:val=""/>
    <w:pPr>
      <w:widowControl/>
    </w:pPr>
    <w:rPr>
      <w:rFonts w:ascii="Verdana" w:hAnsi="Verdana" w:cs="Verdana"/>
      <w:lang w:val="en-us"/>
    </w:rPr>
  </w:style>
  <w:style w:type="paragraph" w:styleId="ConsPlusNonformat" w:customStyle="1">
    <w:name w:val="ConsPlusNonformat"/>
    <w:qFormat/>
    <w:rPr>
      <w:rFonts w:ascii="Courier New" w:hAnsi="Courier New" w:cs="Courier New"/>
    </w:rPr>
  </w:style>
  <w:style w:type="paragraph" w:styleId="ConsPlusTitle" w:customStyle="1">
    <w:name w:val="ConsPlusTitle"/>
    <w:qFormat/>
    <w:rPr>
      <w:rFonts w:ascii="Arial" w:hAnsi="Arial" w:cs="Arial"/>
      <w:b/>
      <w:bCs/>
    </w:rPr>
  </w:style>
  <w:style w:type="paragraph" w:styleId="ConsPlusDocList" w:customStyle="1">
    <w:name w:val="ConsPlusDocList"/>
    <w:qFormat/>
    <w:rPr>
      <w:rFonts w:ascii="Courier New" w:hAnsi="Courier New" w:cs="Courier New"/>
    </w:rPr>
  </w:style>
  <w:style w:type="paragraph" w:styleId="">
    <w:name w:val="Header"/>
    <w:qFormat/>
    <w:basedOn w:val=""/>
    <w:pPr>
      <w:spacing w:after="200" w:line="276" w:lineRule="auto"/>
      <w:widowControl/>
      <w:tabs>
        <w:tab w:val="center" w:pos="4677" w:leader="none"/>
        <w:tab w:val="right" w:pos="9355" w:leader="none"/>
      </w:tabs>
    </w:pPr>
    <w:rPr>
      <w:rFonts w:ascii="Calibri" w:hAnsi="Calibri" w:cs="Calibri"/>
      <w:sz w:val="22"/>
      <w:szCs w:val="22"/>
    </w:rPr>
  </w:style>
  <w:style w:type="paragraph" w:styleId="">
    <w:name w:val="Footer"/>
    <w:qFormat/>
    <w:basedOn w:val=""/>
    <w:pPr>
      <w:spacing w:after="200" w:line="276" w:lineRule="auto"/>
      <w:widowControl/>
      <w:tabs>
        <w:tab w:val="center" w:pos="4677" w:leader="none"/>
        <w:tab w:val="right" w:pos="9355" w:leader="none"/>
      </w:tabs>
    </w:pPr>
    <w:rPr>
      <w:rFonts w:ascii="Calibri" w:hAnsi="Calibri" w:cs="Calibri"/>
      <w:sz w:val="22"/>
      <w:szCs w:val="22"/>
    </w:rPr>
  </w:style>
  <w:style w:type="paragraph" w:styleId="HTML">
    <w:name w:val="HTML Preformatted"/>
    <w:qFormat/>
    <w:basedOn w:val=""/>
    <w:pPr>
      <w:widowControl/>
    </w:pPr>
    <w:rPr>
      <w:rFonts w:ascii="Consolas" w:hAnsi="Consolas" w:cs="Consolas"/>
    </w:rPr>
  </w:style>
  <w:style w:type="paragraph" w:styleId="" w:customStyle="1">
    <w:name w:val="Знак Знак Знак Знак"/>
    <w:qFormat/>
    <w:basedOn w:val=""/>
    <w:pPr>
      <w:widowControl/>
    </w:pPr>
    <w:rPr>
      <w:rFonts w:ascii="Verdana" w:hAnsi="Verdana" w:cs="Verdana"/>
      <w:lang w:val="en-us"/>
    </w:rPr>
  </w:style>
  <w:style w:type="paragraph" w:styleId="1" w:customStyle="1">
    <w:name w:val="Знак Знак Знак Знак1"/>
    <w:qFormat/>
    <w:basedOn w:val=""/>
    <w:pPr>
      <w:widowControl/>
    </w:pPr>
    <w:rPr>
      <w:rFonts w:ascii="Verdana" w:hAnsi="Verdana" w:cs="Verdana"/>
      <w:lang w:val="en-us"/>
    </w:rPr>
  </w:style>
  <w:style w:type="paragraph" w:styleId="3" w:customStyle="1">
    <w:name w:val="Знак Знак Знак Знак3"/>
    <w:qFormat/>
    <w:basedOn w:val=""/>
    <w:pPr>
      <w:widowControl/>
    </w:pPr>
    <w:rPr>
      <w:rFonts w:ascii="Verdana" w:hAnsi="Verdana" w:cs="Verdana"/>
      <w:lang w:val="en-us"/>
    </w:rPr>
  </w:style>
  <w:style w:type="paragraph" w:styleId="4" w:customStyle="1">
    <w:name w:val="Знак Знак Знак Знак4"/>
    <w:qFormat/>
    <w:basedOn w:val=""/>
    <w:pPr>
      <w:widowControl/>
    </w:pPr>
    <w:rPr>
      <w:rFonts w:ascii="Verdana" w:hAnsi="Verdana" w:cs="Verdana"/>
      <w:lang w:val="en-us"/>
    </w:rPr>
  </w:style>
  <w:style w:type="paragraph" w:styleId="5" w:customStyle="1">
    <w:name w:val="Знак Знак Знак Знак5"/>
    <w:qFormat/>
    <w:basedOn w:val=""/>
    <w:pPr>
      <w:widowControl/>
    </w:pPr>
    <w:rPr>
      <w:rFonts w:ascii="Verdana" w:hAnsi="Verdana" w:cs="Verdana"/>
      <w:lang w:val="en-us"/>
    </w:rPr>
  </w:style>
  <w:style w:type="paragraph" w:styleId="6" w:customStyle="1">
    <w:name w:val="Знак Знак Знак Знак6"/>
    <w:qFormat/>
    <w:basedOn w:val=""/>
    <w:pPr>
      <w:widowControl/>
    </w:pPr>
    <w:rPr>
      <w:rFonts w:ascii="Verdana" w:hAnsi="Verdana" w:cs="Verdana"/>
      <w:lang w:val="en-us"/>
    </w:rPr>
  </w:style>
  <w:style w:type="paragraph" w:styleId="7" w:customStyle="1">
    <w:name w:val="Знак Знак Знак Знак7"/>
    <w:qFormat/>
    <w:basedOn w:val=""/>
    <w:pPr>
      <w:widowControl/>
    </w:pPr>
    <w:rPr>
      <w:rFonts w:ascii="Verdana" w:hAnsi="Verdana" w:cs="Verdana"/>
      <w:lang w:val="en-us"/>
    </w:rPr>
  </w:style>
  <w:style w:type="paragraph" w:styleId="">
    <w:name w:val="List Paragraph"/>
    <w:qFormat/>
    <w:basedOn w:val=""/>
    <w:pPr>
      <w:ind w:left="720"/>
      <w:spacing w:after="200" w:line="276" w:lineRule="auto"/>
      <w:widowControl/>
    </w:pPr>
    <w:rPr>
      <w:rFonts w:ascii="Calibri" w:hAnsi="Calibri" w:cs="Calibri"/>
      <w:sz w:val="22"/>
      <w:szCs w:val="22"/>
    </w:rPr>
  </w:style>
  <w:style w:type="paragraph" w:styleId="">
    <w:name w:val="No Spacing"/>
    <w:qFormat/>
    <w:pPr>
      <w:widowControl/>
    </w:pPr>
    <w:rPr>
      <w:rFonts w:ascii="Calibri" w:hAnsi="Calibri" w:cs="Calibri"/>
      <w:sz w:val="22"/>
      <w:szCs w:val="22"/>
    </w:rPr>
  </w:style>
  <w:style w:type="paragraph" w:styleId="" w:customStyle="1">
    <w:name w:val="Знак"/>
    <w:qFormat/>
    <w:basedOn w:val=""/>
    <w:pPr>
      <w:spacing w:after="160" w:line="240" w:lineRule="exact"/>
      <w:widowControl/>
    </w:pPr>
    <w:rPr>
      <w:rFonts w:ascii="Verdana" w:hAnsi="Verdana" w:cs="Verdana"/>
      <w:lang w:val="en-us"/>
    </w:rPr>
  </w:style>
  <w:style w:type="paragraph" w:styleId="">
    <w:name w:val="Body Text Indent"/>
    <w:qFormat/>
    <w:basedOn w:val=""/>
    <w:pPr>
      <w:ind w:left="283"/>
      <w:spacing w:after="120"/>
    </w:pPr>
  </w:style>
  <w:style w:type="paragraph" w:styleId="1" w:customStyle="1">
    <w:name w:val="Обычный1"/>
    <w:qFormat/>
    <w:pPr>
      <w:widowControl/>
    </w:pPr>
    <w:rPr>
      <w:rFonts w:ascii="Baltica" w:hAnsi="Baltica" w:cs="Baltica"/>
      <w:sz w:val="24"/>
      <w:szCs w:val="24"/>
    </w:rPr>
  </w:style>
  <w:style w:type="paragraph" w:styleId="" w:customStyle="1">
    <w:name w:val="Знак Знак Знак Знак Знак Знак"/>
    <w:qFormat/>
    <w:basedOn w:val=""/>
    <w:pPr>
      <w:spacing w:after="160" w:line="240" w:lineRule="exact"/>
      <w:widowControl/>
    </w:pPr>
    <w:rPr>
      <w:rFonts w:ascii="Verdana" w:hAnsi="Verdana" w:cs="Verdana"/>
      <w:lang w:val="en-us"/>
    </w:rPr>
  </w:style>
  <w:style w:type="paragraph" w:styleId="" w:customStyle="1">
    <w:name w:val="Содержимое врезки"/>
    <w:qFormat/>
    <w:basedOn w:val=""/>
  </w:style>
  <w:style w:type="character" w:styleId="" w:default="1">
    <w:name w:val="Default Paragraph Font"/>
    <w:rPr>
      <w:rFonts w:ascii="Calibri" w:hAnsi="Calibri"/>
      <w:color w:val="000000"/>
      <w:kern w:val="0"/>
    </w:rPr>
  </w:style>
  <w:style w:type="character" w:styleId="1" w:customStyle="1">
    <w:name w:val="Заголовок 1 Знак"/>
    <w:rPr>
      <w:b/>
      <w:bCs/>
      <w:color w:val="000000"/>
      <w:kern w:val="0"/>
      <w:sz w:val="24"/>
      <w:szCs w:val="24"/>
    </w:rPr>
  </w:style>
  <w:style w:type="character" w:styleId="2" w:customStyle="1">
    <w:name w:val="Заголовок 2 Знак"/>
    <w:rPr>
      <w:rFonts w:ascii="Arial" w:hAnsi="Arial" w:cs="Arial"/>
      <w:b/>
      <w:bCs/>
      <w:i/>
      <w:iCs/>
      <w:color w:val="000000"/>
      <w:kern w:val="0"/>
      <w:sz w:val="28"/>
      <w:szCs w:val="28"/>
    </w:rPr>
  </w:style>
  <w:style w:type="character" w:styleId="3" w:customStyle="1">
    <w:name w:val="Заголовок 3 Знак"/>
    <w:rPr>
      <w:rFonts w:ascii="Arial" w:hAnsi="Arial" w:cs="Arial"/>
      <w:b/>
      <w:bCs/>
      <w:color w:val="000000"/>
      <w:kern w:val="0"/>
      <w:sz w:val="26"/>
      <w:szCs w:val="26"/>
    </w:rPr>
  </w:style>
  <w:style w:type="character" w:styleId="4" w:customStyle="1">
    <w:name w:val="Заголовок 4 Знак"/>
    <w:rPr>
      <w:b/>
      <w:bCs/>
      <w:color w:val="000000"/>
      <w:kern w:val="0"/>
      <w:sz w:val="28"/>
      <w:szCs w:val="28"/>
    </w:rPr>
  </w:style>
  <w:style w:type="character" w:styleId="" w:customStyle="1">
    <w:name w:val="Текст выноски Знак"/>
    <w:rPr>
      <w:rFonts w:ascii="Tahoma" w:hAnsi="Tahoma" w:cs="Tahoma"/>
      <w:color w:val="000000"/>
      <w:kern w:val="0"/>
      <w:sz w:val="16"/>
      <w:szCs w:val="16"/>
    </w:rPr>
  </w:style>
  <w:style w:type="character" w:styleId="" w:customStyle="1">
    <w:name w:val="Цветовое выделение"/>
    <w:rPr>
      <w:rFonts w:ascii="Calibri" w:hAnsi="Calibri"/>
      <w:b/>
      <w:bCs/>
      <w:color w:val="26282f"/>
      <w:kern w:val="0"/>
      <w:sz w:val="26"/>
      <w:szCs w:val="26"/>
    </w:rPr>
  </w:style>
  <w:style w:type="character" w:styleId="" w:customStyle="1">
    <w:name w:val="Гипертекстовая ссылка"/>
    <w:rPr>
      <w:rFonts w:ascii="Calibri" w:hAnsi="Calibri"/>
      <w:b/>
      <w:bCs/>
      <w:kern w:val="0"/>
      <w:sz w:val="26"/>
      <w:szCs w:val="26"/>
    </w:rPr>
  </w:style>
  <w:style w:type="character" w:styleId="-" w:customStyle="1">
    <w:name w:val="Интернет-ссылка"/>
    <w:rPr>
      <w:rFonts w:ascii="Calibri" w:hAnsi="Calibri"/>
      <w:color w:val="0000ff"/>
      <w:kern w:val="0"/>
      <w:u w:color="auto" w:val="single"/>
    </w:rPr>
  </w:style>
  <w:style w:type="character" w:styleId="" w:customStyle="1">
    <w:name w:val="Верхний колонтитул Знак"/>
    <w:rPr>
      <w:rFonts w:ascii="Calibri" w:hAnsi="Calibri" w:cs="Calibri"/>
      <w:color w:val="000000"/>
      <w:kern w:val="0"/>
    </w:rPr>
  </w:style>
  <w:style w:type="character" w:styleId="" w:customStyle="1">
    <w:name w:val="Нижний колонтитул Знак"/>
    <w:rPr>
      <w:rFonts w:ascii="Calibri" w:hAnsi="Calibri" w:cs="Calibri"/>
      <w:color w:val="000000"/>
      <w:kern w:val="0"/>
    </w:rPr>
  </w:style>
  <w:style w:type="character" w:styleId="HTML" w:customStyle="1">
    <w:name w:val="Стандартный HTML Знак"/>
    <w:rPr>
      <w:rFonts w:ascii="Consolas" w:hAnsi="Consolas" w:cs="Consolas"/>
      <w:color w:val="000000"/>
      <w:kern w:val="0"/>
    </w:rPr>
  </w:style>
  <w:style w:type="character" w:styleId="">
    <w:name w:val="FollowedHyperlink"/>
    <w:rPr>
      <w:rFonts w:ascii="Calibri" w:hAnsi="Calibri"/>
      <w:color w:val="800080"/>
      <w:kern w:val="0"/>
      <w:u w:color="auto" w:val="single"/>
    </w:rPr>
  </w:style>
  <w:style w:type="character" w:styleId="">
    <w:name w:val="Strong"/>
    <w:rPr>
      <w:rFonts w:ascii="Calibri" w:hAnsi="Calibri"/>
      <w:b/>
      <w:bCs/>
      <w:color w:val="000000"/>
      <w:kern w:val="0"/>
    </w:rPr>
  </w:style>
  <w:style w:type="character" w:styleId="BodyTextChar1" w:customStyle="1">
    <w:name w:val="Body Text Char1"/>
    <w:rPr>
      <w:rFonts w:ascii="Calibri" w:hAnsi="Calibri"/>
      <w:color w:val="000000"/>
      <w:kern w:val="0"/>
      <w:sz w:val="28"/>
      <w:szCs w:val="28"/>
    </w:rPr>
  </w:style>
  <w:style w:type="character" w:styleId="" w:customStyle="1">
    <w:name w:val="Основной текст Знак"/>
    <w:rPr>
      <w:rFonts w:ascii="Calibri" w:hAnsi="Calibri" w:cs="Calibri"/>
      <w:color w:val="000000"/>
      <w:kern w:val="0"/>
      <w:sz w:val="28"/>
      <w:szCs w:val="28"/>
      <w:shd w:val="clear" w:fill="ffffff"/>
    </w:rPr>
  </w:style>
  <w:style w:type="character" w:styleId="apple-converted-space" w:customStyle="1">
    <w:name w:val="apple-converted-space"/>
    <w:basedOn w:val=""/>
  </w:style>
  <w:style w:type="character" w:styleId="" w:customStyle="1">
    <w:name w:val="Основной текст с отступом Знак"/>
    <w:rPr>
      <w:color w:val="000000"/>
      <w:kern w:val="0"/>
    </w:rPr>
  </w:style>
  <w:style w:type="character" w:styleId="5" w:customStyle="1">
    <w:name w:val="Заголовок 5 Знак"/>
    <w:rPr>
      <w:rFonts w:ascii="Calibri" w:hAnsi="Calibri"/>
      <w:b/>
      <w:bCs/>
      <w:i/>
      <w:iCs/>
      <w:color w:val="000000"/>
      <w:kern w:val="0"/>
      <w:sz w:val="26"/>
      <w:szCs w:val="26"/>
    </w:rPr>
  </w:style>
  <w:style w:type="character" w:styleId="6" w:customStyle="1">
    <w:name w:val="Заголовок 6 Знак"/>
    <w:rPr>
      <w:rFonts w:ascii="Calibri" w:hAnsi="Calibri"/>
      <w:b/>
      <w:bCs/>
      <w:color w:val="000000"/>
      <w:kern w:val="0"/>
      <w:sz w:val="22"/>
      <w:szCs w:val="22"/>
    </w:rPr>
  </w:style>
  <w:style w:type="character" w:styleId="">
    <w:name w:val="Emphasis"/>
    <w:rPr>
      <w:rFonts w:ascii="Calibri" w:hAnsi="Calibri"/>
      <w:i/>
      <w:iCs/>
      <w:color w:val="000000"/>
      <w:kern w:val="0"/>
    </w:rPr>
  </w:style>
  <w:style w:type="character" w:styleId="7" w:customStyle="1">
    <w:name w:val="Заголовок 7 Знак"/>
    <w:rPr>
      <w:rFonts w:ascii="Calibri" w:hAnsi="Calibri"/>
      <w:color w:val="000000"/>
      <w:kern w:val="0"/>
      <w:sz w:val="24"/>
      <w:szCs w:val="24"/>
    </w:rPr>
  </w:style>
  <w:style w:type="character" w:styleId="ListLabel1" w:customStyle="1">
    <w:name w:val="ListLabel 1"/>
    <w:rPr>
      <w:rFonts w:ascii="Calibri" w:hAnsi="Calibri"/>
      <w:color w:val="000000"/>
      <w:kern w:val="0"/>
    </w:rPr>
  </w:style>
  <w:style w:type="character" w:styleId="ListLabel2" w:customStyle="1">
    <w:name w:val="ListLabel 2"/>
    <w:rPr>
      <w:rFonts w:ascii="Calibri" w:hAnsi="Calibri"/>
      <w:color w:val="000000"/>
      <w:kern w:val="0"/>
    </w:rPr>
  </w:style>
  <w:style w:type="character" w:styleId="ListLabel3" w:customStyle="1">
    <w:name w:val="ListLabel 3"/>
    <w:rPr>
      <w:rFonts w:ascii="Calibri" w:hAnsi="Calibri"/>
      <w:color w:val="000000"/>
      <w:kern w:val="0"/>
      <w:sz w:val="28"/>
      <w:szCs w:val="28"/>
    </w:rPr>
  </w:style>
  <w:style w:type="character" w:styleId="ListLabel4" w:customStyle="1">
    <w:name w:val="ListLabel 4"/>
    <w:rPr>
      <w:rFonts w:ascii="Calibri" w:hAnsi="Calibri" w:cs="Symbol"/>
      <w:color w:val="000000"/>
      <w:kern w:val="0"/>
    </w:rPr>
  </w:style>
  <w:style w:type="character" w:styleId="ListLabel5" w:customStyle="1">
    <w:name w:val="ListLabel 5"/>
    <w:rPr>
      <w:rFonts w:ascii="Calibri" w:hAnsi="Calibri" w:cs="Symbol"/>
      <w:color w:val="000000"/>
      <w:kern w:val="0"/>
    </w:rPr>
  </w:style>
  <w:style w:type="character" w:styleId="ListLabel6" w:customStyle="1">
    <w:name w:val="ListLabel 6"/>
    <w:rPr>
      <w:rFonts w:ascii="Calibri" w:hAnsi="Calibri" w:cs="Symbol"/>
      <w:color w:val="000000"/>
      <w:kern w:val="0"/>
    </w:rPr>
  </w:style>
  <w:style w:type="character" w:styleId="ListLabel7" w:customStyle="1">
    <w:name w:val="ListLabel 7"/>
    <w:rPr>
      <w:rFonts w:ascii="Calibri" w:hAnsi="Calibri" w:cs="Symbol"/>
      <w:color w:val="000000"/>
      <w:kern w:val="0"/>
    </w:rPr>
  </w:style>
  <w:style w:type="character" w:styleId="ListLabel8" w:customStyle="1">
    <w:name w:val="ListLabel 8"/>
    <w:rPr>
      <w:rFonts w:ascii="Calibri" w:hAnsi="Calibri" w:cs="Symbol"/>
      <w:color w:val="000000"/>
      <w:kern w:val="0"/>
    </w:rPr>
  </w:style>
  <w:style w:type="character" w:styleId="ListLabel9" w:customStyle="1">
    <w:name w:val="ListLabel 9"/>
    <w:rPr>
      <w:rFonts w:ascii="Calibri" w:hAnsi="Calibri" w:cs="Symbol"/>
      <w:color w:val="000000"/>
      <w:kern w:val="0"/>
    </w:rPr>
  </w:style>
  <w:style w:type="character" w:styleId="ListLabel10" w:customStyle="1">
    <w:name w:val="ListLabel 10"/>
    <w:rPr>
      <w:rFonts w:ascii="Calibri" w:hAnsi="Calibri" w:cs="Symbol"/>
      <w:color w:val="000000"/>
      <w:kern w:val="0"/>
    </w:rPr>
  </w:style>
  <w:style w:type="character" w:styleId="ListLabel11" w:customStyle="1">
    <w:name w:val="ListLabel 11"/>
    <w:rPr>
      <w:rFonts w:ascii="Calibri" w:hAnsi="Calibri" w:cs="Symbol"/>
      <w:color w:val="000000"/>
      <w:kern w:val="0"/>
    </w:rPr>
  </w:style>
  <w:style w:type="character" w:styleId="ListLabel12" w:customStyle="1">
    <w:name w:val="ListLabel 12"/>
    <w:rPr>
      <w:rFonts w:ascii="Calibri" w:hAnsi="Calibri" w:cs="Symbol"/>
      <w:color w:val="000000"/>
      <w:kern w:val="0"/>
    </w:rPr>
  </w:style>
  <w:style w:type="character" w:styleId="ListLabel13" w:customStyle="1">
    <w:name w:val="ListLabel 13"/>
    <w:rPr>
      <w:color w:val="000000"/>
      <w:kern w:val="0"/>
      <w:sz w:val="24"/>
    </w:rPr>
  </w:style>
  <w:style w:type="character" w:styleId="ListLabel14" w:customStyle="1">
    <w:name w:val="ListLabel 14"/>
    <w:rPr>
      <w:rFonts w:ascii="Calibri" w:hAnsi="Calibri"/>
      <w:b/>
      <w:color w:val="000000"/>
      <w:kern w:val="0"/>
    </w:rPr>
  </w:style>
  <w:style w:type="character" w:styleId="ListLabel15" w:customStyle="1">
    <w:name w:val="ListLabel 15"/>
    <w:rPr>
      <w:rFonts w:ascii="Calibri" w:hAnsi="Calibri"/>
      <w:b/>
      <w:color w:val="000000"/>
      <w:kern w:val="0"/>
    </w:rPr>
  </w:style>
  <w:style w:type="character" w:styleId="ListLabel16" w:customStyle="1">
    <w:name w:val="ListLabel 16"/>
    <w:rPr>
      <w:color w:val="00000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Times New Roman" w:hAnsi="Times New Roman" w:eastAsia="Times New Roman" w:cs="Times New Roman"/>
        <w:color w:val="00000a"/>
        <w:kern w:val="1"/>
        <w:sz w:val="20"/>
        <w:szCs w:val="20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1">
    <w:name w:val="heading 1"/>
    <w:qFormat/>
    <w:basedOn w:val=""/>
    <w:pPr>
      <w:numPr>
        <w:ilvl w:val="0"/>
        <w:numId w:val="1"/>
      </w:numPr>
      <w:ind w:left="1985" w:hanging="851"/>
      <w:spacing/>
      <w:jc w:val="both"/>
      <w:keepNext/>
      <w:outlineLvl w:val="0"/>
      <w:widowControl/>
    </w:pPr>
    <w:rPr>
      <w:b/>
      <w:bCs/>
      <w:sz w:val="24"/>
      <w:szCs w:val="24"/>
    </w:rPr>
  </w:style>
  <w:style w:type="paragraph" w:styleId="2">
    <w:name w:val="heading 2"/>
    <w:qFormat/>
    <w:basedOn w:val=""/>
    <w:pPr>
      <w:numPr>
        <w:ilvl w:val="1"/>
        <w:numId w:val="1"/>
      </w:numPr>
      <w:ind w:left="1844" w:hanging="851"/>
      <w:spacing w:before="240" w:after="60"/>
      <w:keepNext/>
      <w:outlineLvl w:val="1"/>
      <w:widowControl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qFormat/>
    <w:basedOn w:val=""/>
    <w:pPr>
      <w:numPr>
        <w:ilvl w:val="2"/>
        <w:numId w:val="1"/>
      </w:numPr>
      <w:ind w:left="851" w:firstLine="283"/>
      <w:spacing w:before="240" w:after="60"/>
      <w:keepNext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qFormat/>
    <w:basedOn w:val=""/>
    <w:pPr>
      <w:numPr>
        <w:ilvl w:val="3"/>
        <w:numId w:val="1"/>
      </w:numPr>
      <w:ind w:left="1985" w:hanging="851"/>
      <w:spacing w:before="240" w:after="60"/>
      <w:keepNext/>
      <w:outlineLvl w:val="3"/>
      <w:widowControl/>
    </w:pPr>
    <w:rPr>
      <w:b/>
      <w:bCs/>
      <w:sz w:val="28"/>
      <w:szCs w:val="28"/>
    </w:rPr>
  </w:style>
  <w:style w:type="paragraph" w:styleId="5">
    <w:name w:val="heading 5"/>
    <w:qFormat/>
    <w:basedOn w:val="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qFormat/>
    <w:basedOn w:val="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qFormat/>
    <w:basedOn w:val="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" w:customStyle="1">
    <w:name w:val="Заголовок"/>
    <w:qFormat/>
    <w:basedOn w:val=""/>
    <w:next w:val="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">
    <w:name w:val="Body Text"/>
    <w:qFormat/>
    <w:basedOn w:val=""/>
    <w:pPr>
      <w:ind w:hanging="280"/>
      <w:spacing w:before="900" w:line="475" w:lineRule="exact"/>
      <w:jc w:val="both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FFFFFF"/>
    </w:pPr>
    <w:rPr>
      <w:rFonts w:ascii="Calibri" w:hAnsi="Calibri" w:cs="Calibri"/>
      <w:sz w:val="28"/>
      <w:szCs w:val="28"/>
    </w:rPr>
  </w:style>
  <w:style w:type="paragraph" w:styleId="">
    <w:name w:val="List"/>
    <w:qFormat/>
    <w:basedOn w:val=""/>
    <w:rPr>
      <w:rFonts w:cs="Mangal"/>
    </w:rPr>
  </w:style>
  <w:style w:type="paragraph" w:styleId="">
    <w:name w:val="caption"/>
    <w:qFormat/>
    <w:basedOn w:val=""/>
    <w:pPr>
      <w:spacing w:before="120" w:after="120"/>
    </w:pPr>
    <w:rPr>
      <w:rFonts w:cs="Mangal"/>
      <w:i/>
      <w:iCs/>
      <w:sz w:val="24"/>
      <w:szCs w:val="24"/>
    </w:rPr>
  </w:style>
  <w:style w:type="paragraph" w:styleId="">
    <w:name w:val="Index Heading"/>
    <w:qFormat/>
    <w:basedOn w:val=""/>
    <w:rPr>
      <w:rFonts w:cs="Mangal"/>
    </w:rPr>
  </w:style>
  <w:style w:type="paragraph" w:styleId="">
    <w:name w:val="Balloon Text"/>
    <w:qFormat/>
    <w:basedOn w:val=""/>
    <w:rPr>
      <w:rFonts w:ascii="Tahoma" w:hAnsi="Tahoma" w:cs="Tahoma"/>
      <w:sz w:val="16"/>
      <w:szCs w:val="16"/>
    </w:rPr>
  </w:style>
  <w:style w:type="paragraph" w:styleId="5" w:customStyle="1">
    <w:name w:val="Знак Знак5 Знак Знак Знак"/>
    <w:qFormat/>
    <w:basedOn w:val=""/>
    <w:pPr>
      <w:spacing w:after="160" w:line="240" w:lineRule="exact"/>
      <w:widowControl/>
    </w:pPr>
    <w:rPr>
      <w:rFonts w:ascii="Verdana" w:hAnsi="Verdana" w:cs="Verdana"/>
      <w:lang w:val="en-us"/>
    </w:rPr>
  </w:style>
  <w:style w:type="paragraph" w:styleId="()" w:customStyle="1">
    <w:name w:val="Таблицы (моноширинный)"/>
    <w:qFormat/>
    <w:basedOn w:val=""/>
    <w:pPr>
      <w:spacing/>
      <w:jc w:val="both"/>
    </w:pPr>
    <w:rPr>
      <w:rFonts w:ascii="Courier New" w:hAnsi="Courier New" w:cs="Courier New"/>
      <w:sz w:val="22"/>
      <w:szCs w:val="22"/>
    </w:rPr>
  </w:style>
  <w:style w:type="paragraph" w:styleId="" w:customStyle="1">
    <w:name w:val="Прижатый влево"/>
    <w:qFormat/>
    <w:basedOn w:val=""/>
    <w:rPr>
      <w:rFonts w:ascii="Arial" w:hAnsi="Arial" w:cs="Arial"/>
      <w:sz w:val="24"/>
      <w:szCs w:val="24"/>
    </w:rPr>
  </w:style>
  <w:style w:type="paragraph" w:styleId="()" w:customStyle="1">
    <w:name w:val="Нормальный (таблица)"/>
    <w:qFormat/>
    <w:basedOn w:val=""/>
    <w:pPr>
      <w:spacing/>
      <w:jc w:val="both"/>
    </w:pPr>
    <w:rPr>
      <w:rFonts w:ascii="Arial" w:hAnsi="Arial" w:cs="Arial"/>
      <w:sz w:val="24"/>
      <w:szCs w:val="24"/>
    </w:rPr>
  </w:style>
  <w:style w:type="paragraph" w:styleId="ConsPlusCell" w:customStyle="1">
    <w:name w:val="ConsPlusCell"/>
    <w:qFormat/>
    <w:rPr>
      <w:rFonts w:ascii="Arial" w:hAnsi="Arial" w:cs="Arial"/>
    </w:rPr>
  </w:style>
  <w:style w:type="paragraph" w:styleId="()">
    <w:name w:val="Normal (Web)"/>
    <w:qFormat/>
    <w:basedOn w:val=""/>
    <w:pPr>
      <w:spacing w:beforeAutospacing="1" w:afterAutospacing="1"/>
      <w:widowControl/>
    </w:pPr>
    <w:rPr>
      <w:sz w:val="24"/>
      <w:szCs w:val="24"/>
    </w:rPr>
  </w:style>
  <w:style w:type="paragraph" w:styleId="ConsPlusNormal" w:customStyle="1">
    <w:name w:val="ConsPlusNormal"/>
    <w:qFormat/>
    <w:pPr>
      <w:ind w:firstLine="720"/>
    </w:pPr>
    <w:rPr>
      <w:rFonts w:ascii="Arial" w:hAnsi="Arial" w:cs="Arial"/>
    </w:rPr>
  </w:style>
  <w:style w:type="paragraph" w:styleId="1" w:customStyle="1">
    <w:name w:val="Абзац списка1"/>
    <w:qFormat/>
    <w:basedOn w:val=""/>
    <w:pPr>
      <w:ind w:left="720"/>
      <w:spacing w:after="200" w:line="276" w:lineRule="auto"/>
      <w:widowControl/>
    </w:pPr>
    <w:rPr>
      <w:rFonts w:ascii="Calibri" w:hAnsi="Calibri" w:cs="Calibri"/>
      <w:sz w:val="22"/>
      <w:szCs w:val="22"/>
    </w:rPr>
  </w:style>
  <w:style w:type="paragraph" w:styleId="2" w:customStyle="1">
    <w:name w:val="Знак Знак Знак Знак2"/>
    <w:qFormat/>
    <w:basedOn w:val=""/>
    <w:pPr>
      <w:widowControl/>
    </w:pPr>
    <w:rPr>
      <w:rFonts w:ascii="Verdana" w:hAnsi="Verdana" w:cs="Verdana"/>
      <w:lang w:val="en-us"/>
    </w:rPr>
  </w:style>
  <w:style w:type="paragraph" w:styleId="ConsPlusNonformat" w:customStyle="1">
    <w:name w:val="ConsPlusNonformat"/>
    <w:qFormat/>
    <w:rPr>
      <w:rFonts w:ascii="Courier New" w:hAnsi="Courier New" w:cs="Courier New"/>
    </w:rPr>
  </w:style>
  <w:style w:type="paragraph" w:styleId="ConsPlusTitle" w:customStyle="1">
    <w:name w:val="ConsPlusTitle"/>
    <w:qFormat/>
    <w:rPr>
      <w:rFonts w:ascii="Arial" w:hAnsi="Arial" w:cs="Arial"/>
      <w:b/>
      <w:bCs/>
    </w:rPr>
  </w:style>
  <w:style w:type="paragraph" w:styleId="ConsPlusDocList" w:customStyle="1">
    <w:name w:val="ConsPlusDocList"/>
    <w:qFormat/>
    <w:rPr>
      <w:rFonts w:ascii="Courier New" w:hAnsi="Courier New" w:cs="Courier New"/>
    </w:rPr>
  </w:style>
  <w:style w:type="paragraph" w:styleId="">
    <w:name w:val="Header"/>
    <w:qFormat/>
    <w:basedOn w:val=""/>
    <w:pPr>
      <w:spacing w:after="200" w:line="276" w:lineRule="auto"/>
      <w:widowControl/>
      <w:tabs>
        <w:tab w:val="center" w:pos="4677" w:leader="none"/>
        <w:tab w:val="right" w:pos="9355" w:leader="none"/>
      </w:tabs>
    </w:pPr>
    <w:rPr>
      <w:rFonts w:ascii="Calibri" w:hAnsi="Calibri" w:cs="Calibri"/>
      <w:sz w:val="22"/>
      <w:szCs w:val="22"/>
    </w:rPr>
  </w:style>
  <w:style w:type="paragraph" w:styleId="">
    <w:name w:val="Footer"/>
    <w:qFormat/>
    <w:basedOn w:val=""/>
    <w:pPr>
      <w:spacing w:after="200" w:line="276" w:lineRule="auto"/>
      <w:widowControl/>
      <w:tabs>
        <w:tab w:val="center" w:pos="4677" w:leader="none"/>
        <w:tab w:val="right" w:pos="9355" w:leader="none"/>
      </w:tabs>
    </w:pPr>
    <w:rPr>
      <w:rFonts w:ascii="Calibri" w:hAnsi="Calibri" w:cs="Calibri"/>
      <w:sz w:val="22"/>
      <w:szCs w:val="22"/>
    </w:rPr>
  </w:style>
  <w:style w:type="paragraph" w:styleId="HTML">
    <w:name w:val="HTML Preformatted"/>
    <w:qFormat/>
    <w:basedOn w:val=""/>
    <w:pPr>
      <w:widowControl/>
    </w:pPr>
    <w:rPr>
      <w:rFonts w:ascii="Consolas" w:hAnsi="Consolas" w:cs="Consolas"/>
    </w:rPr>
  </w:style>
  <w:style w:type="paragraph" w:styleId="" w:customStyle="1">
    <w:name w:val="Знак Знак Знак Знак"/>
    <w:qFormat/>
    <w:basedOn w:val=""/>
    <w:pPr>
      <w:widowControl/>
    </w:pPr>
    <w:rPr>
      <w:rFonts w:ascii="Verdana" w:hAnsi="Verdana" w:cs="Verdana"/>
      <w:lang w:val="en-us"/>
    </w:rPr>
  </w:style>
  <w:style w:type="paragraph" w:styleId="1" w:customStyle="1">
    <w:name w:val="Знак Знак Знак Знак1"/>
    <w:qFormat/>
    <w:basedOn w:val=""/>
    <w:pPr>
      <w:widowControl/>
    </w:pPr>
    <w:rPr>
      <w:rFonts w:ascii="Verdana" w:hAnsi="Verdana" w:cs="Verdana"/>
      <w:lang w:val="en-us"/>
    </w:rPr>
  </w:style>
  <w:style w:type="paragraph" w:styleId="3" w:customStyle="1">
    <w:name w:val="Знак Знак Знак Знак3"/>
    <w:qFormat/>
    <w:basedOn w:val=""/>
    <w:pPr>
      <w:widowControl/>
    </w:pPr>
    <w:rPr>
      <w:rFonts w:ascii="Verdana" w:hAnsi="Verdana" w:cs="Verdana"/>
      <w:lang w:val="en-us"/>
    </w:rPr>
  </w:style>
  <w:style w:type="paragraph" w:styleId="4" w:customStyle="1">
    <w:name w:val="Знак Знак Знак Знак4"/>
    <w:qFormat/>
    <w:basedOn w:val=""/>
    <w:pPr>
      <w:widowControl/>
    </w:pPr>
    <w:rPr>
      <w:rFonts w:ascii="Verdana" w:hAnsi="Verdana" w:cs="Verdana"/>
      <w:lang w:val="en-us"/>
    </w:rPr>
  </w:style>
  <w:style w:type="paragraph" w:styleId="5" w:customStyle="1">
    <w:name w:val="Знак Знак Знак Знак5"/>
    <w:qFormat/>
    <w:basedOn w:val=""/>
    <w:pPr>
      <w:widowControl/>
    </w:pPr>
    <w:rPr>
      <w:rFonts w:ascii="Verdana" w:hAnsi="Verdana" w:cs="Verdana"/>
      <w:lang w:val="en-us"/>
    </w:rPr>
  </w:style>
  <w:style w:type="paragraph" w:styleId="6" w:customStyle="1">
    <w:name w:val="Знак Знак Знак Знак6"/>
    <w:qFormat/>
    <w:basedOn w:val=""/>
    <w:pPr>
      <w:widowControl/>
    </w:pPr>
    <w:rPr>
      <w:rFonts w:ascii="Verdana" w:hAnsi="Verdana" w:cs="Verdana"/>
      <w:lang w:val="en-us"/>
    </w:rPr>
  </w:style>
  <w:style w:type="paragraph" w:styleId="7" w:customStyle="1">
    <w:name w:val="Знак Знак Знак Знак7"/>
    <w:qFormat/>
    <w:basedOn w:val=""/>
    <w:pPr>
      <w:widowControl/>
    </w:pPr>
    <w:rPr>
      <w:rFonts w:ascii="Verdana" w:hAnsi="Verdana" w:cs="Verdana"/>
      <w:lang w:val="en-us"/>
    </w:rPr>
  </w:style>
  <w:style w:type="paragraph" w:styleId="">
    <w:name w:val="List Paragraph"/>
    <w:qFormat/>
    <w:basedOn w:val=""/>
    <w:pPr>
      <w:ind w:left="720"/>
      <w:spacing w:after="200" w:line="276" w:lineRule="auto"/>
      <w:widowControl/>
    </w:pPr>
    <w:rPr>
      <w:rFonts w:ascii="Calibri" w:hAnsi="Calibri" w:cs="Calibri"/>
      <w:sz w:val="22"/>
      <w:szCs w:val="22"/>
    </w:rPr>
  </w:style>
  <w:style w:type="paragraph" w:styleId="">
    <w:name w:val="No Spacing"/>
    <w:qFormat/>
    <w:pPr>
      <w:widowControl/>
    </w:pPr>
    <w:rPr>
      <w:rFonts w:ascii="Calibri" w:hAnsi="Calibri" w:cs="Calibri"/>
      <w:sz w:val="22"/>
      <w:szCs w:val="22"/>
    </w:rPr>
  </w:style>
  <w:style w:type="paragraph" w:styleId="" w:customStyle="1">
    <w:name w:val="Знак"/>
    <w:qFormat/>
    <w:basedOn w:val=""/>
    <w:pPr>
      <w:spacing w:after="160" w:line="240" w:lineRule="exact"/>
      <w:widowControl/>
    </w:pPr>
    <w:rPr>
      <w:rFonts w:ascii="Verdana" w:hAnsi="Verdana" w:cs="Verdana"/>
      <w:lang w:val="en-us"/>
    </w:rPr>
  </w:style>
  <w:style w:type="paragraph" w:styleId="">
    <w:name w:val="Body Text Indent"/>
    <w:qFormat/>
    <w:basedOn w:val=""/>
    <w:pPr>
      <w:ind w:left="283"/>
      <w:spacing w:after="120"/>
    </w:pPr>
  </w:style>
  <w:style w:type="paragraph" w:styleId="1" w:customStyle="1">
    <w:name w:val="Обычный1"/>
    <w:qFormat/>
    <w:pPr>
      <w:widowControl/>
    </w:pPr>
    <w:rPr>
      <w:rFonts w:ascii="Baltica" w:hAnsi="Baltica" w:cs="Baltica"/>
      <w:sz w:val="24"/>
      <w:szCs w:val="24"/>
    </w:rPr>
  </w:style>
  <w:style w:type="paragraph" w:styleId="" w:customStyle="1">
    <w:name w:val="Знак Знак Знак Знак Знак Знак"/>
    <w:qFormat/>
    <w:basedOn w:val=""/>
    <w:pPr>
      <w:spacing w:after="160" w:line="240" w:lineRule="exact"/>
      <w:widowControl/>
    </w:pPr>
    <w:rPr>
      <w:rFonts w:ascii="Verdana" w:hAnsi="Verdana" w:cs="Verdana"/>
      <w:lang w:val="en-us"/>
    </w:rPr>
  </w:style>
  <w:style w:type="paragraph" w:styleId="" w:customStyle="1">
    <w:name w:val="Содержимое врезки"/>
    <w:qFormat/>
    <w:basedOn w:val=""/>
  </w:style>
  <w:style w:type="character" w:styleId="" w:default="1">
    <w:name w:val="Default Paragraph Font"/>
    <w:rPr>
      <w:rFonts w:ascii="Calibri" w:hAnsi="Calibri"/>
      <w:color w:val="000000"/>
      <w:kern w:val="0"/>
    </w:rPr>
  </w:style>
  <w:style w:type="character" w:styleId="1" w:customStyle="1">
    <w:name w:val="Заголовок 1 Знак"/>
    <w:rPr>
      <w:b/>
      <w:bCs/>
      <w:color w:val="000000"/>
      <w:kern w:val="0"/>
      <w:sz w:val="24"/>
      <w:szCs w:val="24"/>
    </w:rPr>
  </w:style>
  <w:style w:type="character" w:styleId="2" w:customStyle="1">
    <w:name w:val="Заголовок 2 Знак"/>
    <w:rPr>
      <w:rFonts w:ascii="Arial" w:hAnsi="Arial" w:cs="Arial"/>
      <w:b/>
      <w:bCs/>
      <w:i/>
      <w:iCs/>
      <w:color w:val="000000"/>
      <w:kern w:val="0"/>
      <w:sz w:val="28"/>
      <w:szCs w:val="28"/>
    </w:rPr>
  </w:style>
  <w:style w:type="character" w:styleId="3" w:customStyle="1">
    <w:name w:val="Заголовок 3 Знак"/>
    <w:rPr>
      <w:rFonts w:ascii="Arial" w:hAnsi="Arial" w:cs="Arial"/>
      <w:b/>
      <w:bCs/>
      <w:color w:val="000000"/>
      <w:kern w:val="0"/>
      <w:sz w:val="26"/>
      <w:szCs w:val="26"/>
    </w:rPr>
  </w:style>
  <w:style w:type="character" w:styleId="4" w:customStyle="1">
    <w:name w:val="Заголовок 4 Знак"/>
    <w:rPr>
      <w:b/>
      <w:bCs/>
      <w:color w:val="000000"/>
      <w:kern w:val="0"/>
      <w:sz w:val="28"/>
      <w:szCs w:val="28"/>
    </w:rPr>
  </w:style>
  <w:style w:type="character" w:styleId="" w:customStyle="1">
    <w:name w:val="Текст выноски Знак"/>
    <w:rPr>
      <w:rFonts w:ascii="Tahoma" w:hAnsi="Tahoma" w:cs="Tahoma"/>
      <w:color w:val="000000"/>
      <w:kern w:val="0"/>
      <w:sz w:val="16"/>
      <w:szCs w:val="16"/>
    </w:rPr>
  </w:style>
  <w:style w:type="character" w:styleId="" w:customStyle="1">
    <w:name w:val="Цветовое выделение"/>
    <w:rPr>
      <w:rFonts w:ascii="Calibri" w:hAnsi="Calibri"/>
      <w:b/>
      <w:bCs/>
      <w:color w:val="26282f"/>
      <w:kern w:val="0"/>
      <w:sz w:val="26"/>
      <w:szCs w:val="26"/>
    </w:rPr>
  </w:style>
  <w:style w:type="character" w:styleId="" w:customStyle="1">
    <w:name w:val="Гипертекстовая ссылка"/>
    <w:rPr>
      <w:rFonts w:ascii="Calibri" w:hAnsi="Calibri"/>
      <w:b/>
      <w:bCs/>
      <w:kern w:val="0"/>
      <w:sz w:val="26"/>
      <w:szCs w:val="26"/>
    </w:rPr>
  </w:style>
  <w:style w:type="character" w:styleId="-" w:customStyle="1">
    <w:name w:val="Интернет-ссылка"/>
    <w:rPr>
      <w:rFonts w:ascii="Calibri" w:hAnsi="Calibri"/>
      <w:color w:val="0000ff"/>
      <w:kern w:val="0"/>
      <w:u w:color="auto" w:val="single"/>
    </w:rPr>
  </w:style>
  <w:style w:type="character" w:styleId="" w:customStyle="1">
    <w:name w:val="Верхний колонтитул Знак"/>
    <w:rPr>
      <w:rFonts w:ascii="Calibri" w:hAnsi="Calibri" w:cs="Calibri"/>
      <w:color w:val="000000"/>
      <w:kern w:val="0"/>
    </w:rPr>
  </w:style>
  <w:style w:type="character" w:styleId="" w:customStyle="1">
    <w:name w:val="Нижний колонтитул Знак"/>
    <w:rPr>
      <w:rFonts w:ascii="Calibri" w:hAnsi="Calibri" w:cs="Calibri"/>
      <w:color w:val="000000"/>
      <w:kern w:val="0"/>
    </w:rPr>
  </w:style>
  <w:style w:type="character" w:styleId="HTML" w:customStyle="1">
    <w:name w:val="Стандартный HTML Знак"/>
    <w:rPr>
      <w:rFonts w:ascii="Consolas" w:hAnsi="Consolas" w:cs="Consolas"/>
      <w:color w:val="000000"/>
      <w:kern w:val="0"/>
    </w:rPr>
  </w:style>
  <w:style w:type="character" w:styleId="">
    <w:name w:val="FollowedHyperlink"/>
    <w:rPr>
      <w:rFonts w:ascii="Calibri" w:hAnsi="Calibri"/>
      <w:color w:val="800080"/>
      <w:kern w:val="0"/>
      <w:u w:color="auto" w:val="single"/>
    </w:rPr>
  </w:style>
  <w:style w:type="character" w:styleId="">
    <w:name w:val="Strong"/>
    <w:rPr>
      <w:rFonts w:ascii="Calibri" w:hAnsi="Calibri"/>
      <w:b/>
      <w:bCs/>
      <w:color w:val="000000"/>
      <w:kern w:val="0"/>
    </w:rPr>
  </w:style>
  <w:style w:type="character" w:styleId="BodyTextChar1" w:customStyle="1">
    <w:name w:val="Body Text Char1"/>
    <w:rPr>
      <w:rFonts w:ascii="Calibri" w:hAnsi="Calibri"/>
      <w:color w:val="000000"/>
      <w:kern w:val="0"/>
      <w:sz w:val="28"/>
      <w:szCs w:val="28"/>
    </w:rPr>
  </w:style>
  <w:style w:type="character" w:styleId="" w:customStyle="1">
    <w:name w:val="Основной текст Знак"/>
    <w:rPr>
      <w:rFonts w:ascii="Calibri" w:hAnsi="Calibri" w:cs="Calibri"/>
      <w:color w:val="000000"/>
      <w:kern w:val="0"/>
      <w:sz w:val="28"/>
      <w:szCs w:val="28"/>
      <w:shd w:val="clear" w:fill="ffffff"/>
    </w:rPr>
  </w:style>
  <w:style w:type="character" w:styleId="apple-converted-space" w:customStyle="1">
    <w:name w:val="apple-converted-space"/>
    <w:basedOn w:val=""/>
  </w:style>
  <w:style w:type="character" w:styleId="" w:customStyle="1">
    <w:name w:val="Основной текст с отступом Знак"/>
    <w:rPr>
      <w:color w:val="000000"/>
      <w:kern w:val="0"/>
    </w:rPr>
  </w:style>
  <w:style w:type="character" w:styleId="5" w:customStyle="1">
    <w:name w:val="Заголовок 5 Знак"/>
    <w:rPr>
      <w:rFonts w:ascii="Calibri" w:hAnsi="Calibri"/>
      <w:b/>
      <w:bCs/>
      <w:i/>
      <w:iCs/>
      <w:color w:val="000000"/>
      <w:kern w:val="0"/>
      <w:sz w:val="26"/>
      <w:szCs w:val="26"/>
    </w:rPr>
  </w:style>
  <w:style w:type="character" w:styleId="6" w:customStyle="1">
    <w:name w:val="Заголовок 6 Знак"/>
    <w:rPr>
      <w:rFonts w:ascii="Calibri" w:hAnsi="Calibri"/>
      <w:b/>
      <w:bCs/>
      <w:color w:val="000000"/>
      <w:kern w:val="0"/>
      <w:sz w:val="22"/>
      <w:szCs w:val="22"/>
    </w:rPr>
  </w:style>
  <w:style w:type="character" w:styleId="">
    <w:name w:val="Emphasis"/>
    <w:rPr>
      <w:rFonts w:ascii="Calibri" w:hAnsi="Calibri"/>
      <w:i/>
      <w:iCs/>
      <w:color w:val="000000"/>
      <w:kern w:val="0"/>
    </w:rPr>
  </w:style>
  <w:style w:type="character" w:styleId="7" w:customStyle="1">
    <w:name w:val="Заголовок 7 Знак"/>
    <w:rPr>
      <w:rFonts w:ascii="Calibri" w:hAnsi="Calibri"/>
      <w:color w:val="000000"/>
      <w:kern w:val="0"/>
      <w:sz w:val="24"/>
      <w:szCs w:val="24"/>
    </w:rPr>
  </w:style>
  <w:style w:type="character" w:styleId="ListLabel1" w:customStyle="1">
    <w:name w:val="ListLabel 1"/>
    <w:rPr>
      <w:rFonts w:ascii="Calibri" w:hAnsi="Calibri"/>
      <w:color w:val="000000"/>
      <w:kern w:val="0"/>
    </w:rPr>
  </w:style>
  <w:style w:type="character" w:styleId="ListLabel2" w:customStyle="1">
    <w:name w:val="ListLabel 2"/>
    <w:rPr>
      <w:rFonts w:ascii="Calibri" w:hAnsi="Calibri"/>
      <w:color w:val="000000"/>
      <w:kern w:val="0"/>
    </w:rPr>
  </w:style>
  <w:style w:type="character" w:styleId="ListLabel3" w:customStyle="1">
    <w:name w:val="ListLabel 3"/>
    <w:rPr>
      <w:rFonts w:ascii="Calibri" w:hAnsi="Calibri"/>
      <w:color w:val="000000"/>
      <w:kern w:val="0"/>
      <w:sz w:val="28"/>
      <w:szCs w:val="28"/>
    </w:rPr>
  </w:style>
  <w:style w:type="character" w:styleId="ListLabel4" w:customStyle="1">
    <w:name w:val="ListLabel 4"/>
    <w:rPr>
      <w:rFonts w:ascii="Calibri" w:hAnsi="Calibri" w:cs="Symbol"/>
      <w:color w:val="000000"/>
      <w:kern w:val="0"/>
    </w:rPr>
  </w:style>
  <w:style w:type="character" w:styleId="ListLabel5" w:customStyle="1">
    <w:name w:val="ListLabel 5"/>
    <w:rPr>
      <w:rFonts w:ascii="Calibri" w:hAnsi="Calibri" w:cs="Symbol"/>
      <w:color w:val="000000"/>
      <w:kern w:val="0"/>
    </w:rPr>
  </w:style>
  <w:style w:type="character" w:styleId="ListLabel6" w:customStyle="1">
    <w:name w:val="ListLabel 6"/>
    <w:rPr>
      <w:rFonts w:ascii="Calibri" w:hAnsi="Calibri" w:cs="Symbol"/>
      <w:color w:val="000000"/>
      <w:kern w:val="0"/>
    </w:rPr>
  </w:style>
  <w:style w:type="character" w:styleId="ListLabel7" w:customStyle="1">
    <w:name w:val="ListLabel 7"/>
    <w:rPr>
      <w:rFonts w:ascii="Calibri" w:hAnsi="Calibri" w:cs="Symbol"/>
      <w:color w:val="000000"/>
      <w:kern w:val="0"/>
    </w:rPr>
  </w:style>
  <w:style w:type="character" w:styleId="ListLabel8" w:customStyle="1">
    <w:name w:val="ListLabel 8"/>
    <w:rPr>
      <w:rFonts w:ascii="Calibri" w:hAnsi="Calibri" w:cs="Symbol"/>
      <w:color w:val="000000"/>
      <w:kern w:val="0"/>
    </w:rPr>
  </w:style>
  <w:style w:type="character" w:styleId="ListLabel9" w:customStyle="1">
    <w:name w:val="ListLabel 9"/>
    <w:rPr>
      <w:rFonts w:ascii="Calibri" w:hAnsi="Calibri" w:cs="Symbol"/>
      <w:color w:val="000000"/>
      <w:kern w:val="0"/>
    </w:rPr>
  </w:style>
  <w:style w:type="character" w:styleId="ListLabel10" w:customStyle="1">
    <w:name w:val="ListLabel 10"/>
    <w:rPr>
      <w:rFonts w:ascii="Calibri" w:hAnsi="Calibri" w:cs="Symbol"/>
      <w:color w:val="000000"/>
      <w:kern w:val="0"/>
    </w:rPr>
  </w:style>
  <w:style w:type="character" w:styleId="ListLabel11" w:customStyle="1">
    <w:name w:val="ListLabel 11"/>
    <w:rPr>
      <w:rFonts w:ascii="Calibri" w:hAnsi="Calibri" w:cs="Symbol"/>
      <w:color w:val="000000"/>
      <w:kern w:val="0"/>
    </w:rPr>
  </w:style>
  <w:style w:type="character" w:styleId="ListLabel12" w:customStyle="1">
    <w:name w:val="ListLabel 12"/>
    <w:rPr>
      <w:rFonts w:ascii="Calibri" w:hAnsi="Calibri" w:cs="Symbol"/>
      <w:color w:val="000000"/>
      <w:kern w:val="0"/>
    </w:rPr>
  </w:style>
  <w:style w:type="character" w:styleId="ListLabel13" w:customStyle="1">
    <w:name w:val="ListLabel 13"/>
    <w:rPr>
      <w:color w:val="000000"/>
      <w:kern w:val="0"/>
      <w:sz w:val="24"/>
    </w:rPr>
  </w:style>
  <w:style w:type="character" w:styleId="ListLabel14" w:customStyle="1">
    <w:name w:val="ListLabel 14"/>
    <w:rPr>
      <w:rFonts w:ascii="Calibri" w:hAnsi="Calibri"/>
      <w:b/>
      <w:color w:val="000000"/>
      <w:kern w:val="0"/>
    </w:rPr>
  </w:style>
  <w:style w:type="character" w:styleId="ListLabel15" w:customStyle="1">
    <w:name w:val="ListLabel 15"/>
    <w:rPr>
      <w:rFonts w:ascii="Calibri" w:hAnsi="Calibri"/>
      <w:b/>
      <w:color w:val="000000"/>
      <w:kern w:val="0"/>
    </w:rPr>
  </w:style>
  <w:style w:type="character" w:styleId="ListLabel16" w:customStyle="1">
    <w:name w:val="ListLabel 16"/>
    <w:rPr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rev.704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</dc:creator>
  <cp:keywords/>
  <dc:description/>
  <cp:lastModifiedBy/>
  <cp:revision>162</cp:revision>
  <cp:lastPrinted>2019-11-12T14:05:44Z</cp:lastPrinted>
  <dcterms:created xsi:type="dcterms:W3CDTF">2017-03-26T09:22:00Z</dcterms:created>
  <dcterms:modified xsi:type="dcterms:W3CDTF">2019-12-23T10:46:55Z</dcterms:modified>
</cp:coreProperties>
</file>