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 2</w:t>
      </w:r>
    </w:p>
    <w:p>
      <w:pPr>
        <w:pStyle w:val="Normal"/>
        <w:spacing w:lineRule="auto" w:line="24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постанвоелиню Администрации</w:t>
      </w:r>
    </w:p>
    <w:p>
      <w:pPr>
        <w:pStyle w:val="Normal"/>
        <w:spacing w:lineRule="auto" w:line="24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Лахденпохского муниципального района</w:t>
      </w:r>
    </w:p>
    <w:p>
      <w:pPr>
        <w:pStyle w:val="Normal"/>
        <w:spacing w:lineRule="auto" w:line="24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</w:t>
      </w:r>
      <w:r>
        <w:rPr>
          <w:rFonts w:ascii="Times New Roman" w:hAnsi="Times New Roman"/>
          <w:sz w:val="20"/>
          <w:szCs w:val="20"/>
        </w:rPr>
        <w:t>т ___ декабря 2019г.  № ___________</w:t>
      </w:r>
    </w:p>
    <w:p>
      <w:pPr>
        <w:pStyle w:val="Normal"/>
        <w:spacing w:lineRule="auto" w:line="240"/>
        <w:jc w:val="right"/>
        <w:rPr/>
      </w:pPr>
      <w:r>
        <w:rPr/>
      </w:r>
    </w:p>
    <w:p>
      <w:pPr>
        <w:pStyle w:val="Normal"/>
        <w:spacing w:lineRule="auto" w:line="240"/>
        <w:jc w:val="right"/>
        <w:rPr/>
      </w:pPr>
      <w:r>
        <w:rPr/>
      </w:r>
    </w:p>
    <w:p>
      <w:pPr>
        <w:pStyle w:val="Normal"/>
        <w:ind w:right="283" w:hanging="0"/>
        <w:jc w:val="center"/>
        <w:rPr/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Паспорт подпрограммы  </w:t>
      </w:r>
    </w:p>
    <w:p>
      <w:pPr>
        <w:pStyle w:val="Normal"/>
        <w:ind w:right="283" w:hanging="0"/>
        <w:jc w:val="center"/>
        <w:rPr/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«Развитие дошкольного, общего и дополнительного образования» муниципальной программы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«Развитие образования в Лахденпохском муниципальном районе» на 2019-2023 годы (далее – подпрограмма)</w:t>
      </w:r>
    </w:p>
    <w:tbl>
      <w:tblPr>
        <w:tblW w:w="9518" w:type="dxa"/>
        <w:jc w:val="left"/>
        <w:tblInd w:w="-14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top w:w="67" w:type="dxa"/>
          <w:left w:w="107" w:type="dxa"/>
          <w:bottom w:w="67" w:type="dxa"/>
          <w:right w:w="117" w:type="dxa"/>
        </w:tblCellMar>
        <w:tblLook w:firstRow="0" w:noVBand="0" w:lastRow="0" w:firstColumn="0" w:lastColumn="0" w:noHBand="0" w:val="0000"/>
      </w:tblPr>
      <w:tblGrid>
        <w:gridCol w:w="2060"/>
        <w:gridCol w:w="7458"/>
      </w:tblGrid>
      <w:tr>
        <w:trPr/>
        <w:tc>
          <w:tcPr>
            <w:tcW w:w="2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TableParagraph"/>
              <w:tabs>
                <w:tab w:val="left" w:pos="935" w:leader="none"/>
                <w:tab w:val="left" w:pos="1804" w:leader="none"/>
                <w:tab w:val="left" w:pos="2041" w:leader="none"/>
                <w:tab w:val="left" w:pos="2893" w:leader="none"/>
                <w:tab w:val="left" w:pos="3039" w:leader="none"/>
                <w:tab w:val="left" w:pos="4200" w:leader="none"/>
                <w:tab w:val="left" w:pos="4356" w:leader="none"/>
              </w:tabs>
              <w:ind w:right="218" w:hanging="0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Отдел</w:t>
              <w:tab/>
              <w:t>социальной</w:t>
              <w:tab/>
              <w:t xml:space="preserve">  работы</w:t>
              <w:tab/>
              <w:t xml:space="preserve"> Администрации </w:t>
            </w:r>
            <w:r>
              <w:rPr>
                <w:spacing w:val="-1"/>
                <w:sz w:val="24"/>
                <w:szCs w:val="24"/>
                <w:lang w:val="ru-RU"/>
              </w:rPr>
              <w:t xml:space="preserve">Лахденпохского </w:t>
            </w:r>
            <w:r>
              <w:rPr>
                <w:sz w:val="24"/>
                <w:szCs w:val="24"/>
                <w:lang w:val="ru-RU"/>
              </w:rPr>
              <w:t xml:space="preserve">муниципального района (далее – ОСР  АЛМР) </w:t>
            </w:r>
          </w:p>
        </w:tc>
      </w:tr>
      <w:tr>
        <w:trPr>
          <w:trHeight w:val="549" w:hRule="atLeast"/>
        </w:trPr>
        <w:tc>
          <w:tcPr>
            <w:tcW w:w="2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TableParagraph"/>
              <w:tabs>
                <w:tab w:val="left" w:pos="1681" w:leader="none"/>
                <w:tab w:val="left" w:pos="3111" w:leader="none"/>
                <w:tab w:val="left" w:pos="4198" w:leader="none"/>
              </w:tabs>
              <w:ind w:right="218" w:hanging="0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Муниципальное учреждения</w:t>
              <w:tab/>
            </w:r>
            <w:r>
              <w:rPr>
                <w:spacing w:val="-1"/>
                <w:sz w:val="24"/>
                <w:szCs w:val="24"/>
                <w:lang w:val="ru-RU"/>
              </w:rPr>
              <w:t xml:space="preserve"> «Районное управление образования и по делам молодежи» (далее – МУ «РУО и ДМ»)</w:t>
            </w:r>
          </w:p>
          <w:p>
            <w:pPr>
              <w:pStyle w:val="TableParagraph"/>
              <w:tabs>
                <w:tab w:val="left" w:pos="1681" w:leader="none"/>
                <w:tab w:val="left" w:pos="3111" w:leader="none"/>
                <w:tab w:val="left" w:pos="4198" w:leader="none"/>
              </w:tabs>
              <w:ind w:right="218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549" w:hRule="atLeast"/>
        </w:trPr>
        <w:tc>
          <w:tcPr>
            <w:tcW w:w="2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Участники подпрограммы</w:t>
            </w:r>
          </w:p>
        </w:tc>
        <w:tc>
          <w:tcPr>
            <w:tcW w:w="7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TableParagraph"/>
              <w:tabs>
                <w:tab w:val="left" w:pos="1681" w:leader="none"/>
                <w:tab w:val="left" w:pos="3111" w:leader="none"/>
                <w:tab w:val="left" w:pos="4198" w:leader="none"/>
              </w:tabs>
              <w:ind w:right="218" w:hanging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Образовательные организации Лахденпохского муниципального района</w:t>
            </w:r>
          </w:p>
        </w:tc>
      </w:tr>
      <w:tr>
        <w:trPr>
          <w:trHeight w:val="1144" w:hRule="atLeast"/>
        </w:trPr>
        <w:tc>
          <w:tcPr>
            <w:tcW w:w="2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Цель подпрограммы</w:t>
            </w:r>
          </w:p>
        </w:tc>
        <w:tc>
          <w:tcPr>
            <w:tcW w:w="7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ConsPlusNormal"/>
              <w:widowControl/>
              <w:tabs>
                <w:tab w:val="left" w:pos="993" w:leader="none"/>
              </w:tabs>
              <w:spacing w:lineRule="auto" w:line="276"/>
              <w:ind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Повышение качества и доступности  дошкольного, общего и дополнительного образования.</w:t>
            </w:r>
          </w:p>
        </w:tc>
      </w:tr>
      <w:tr>
        <w:trPr>
          <w:trHeight w:val="3181" w:hRule="atLeast"/>
        </w:trPr>
        <w:tc>
          <w:tcPr>
            <w:tcW w:w="2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Задачи подпрограммы</w:t>
            </w:r>
          </w:p>
        </w:tc>
        <w:tc>
          <w:tcPr>
            <w:tcW w:w="7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Web"/>
              <w:tabs>
                <w:tab w:val="left" w:pos="993" w:leader="none"/>
              </w:tabs>
              <w:spacing w:lineRule="auto" w:line="276" w:before="0" w:after="0"/>
              <w:jc w:val="both"/>
              <w:rPr/>
            </w:pPr>
            <w:r>
              <w:rPr>
                <w:sz w:val="24"/>
                <w:szCs w:val="24"/>
              </w:rPr>
              <w:t>- Развитие образовательной сети  и формирование финансово-экономических механизмов, обеспечивающих равный доступ населения к услугам дошкольного, общего и дополнительного образования;</w:t>
            </w:r>
          </w:p>
          <w:p>
            <w:pPr>
              <w:pStyle w:val="NormalWeb"/>
              <w:tabs>
                <w:tab w:val="left" w:pos="993" w:leader="none"/>
              </w:tabs>
              <w:spacing w:lineRule="auto" w:line="276" w:before="0" w:after="0"/>
              <w:jc w:val="both"/>
              <w:rPr/>
            </w:pPr>
            <w:r>
              <w:rPr>
                <w:sz w:val="24"/>
                <w:szCs w:val="24"/>
              </w:rPr>
              <w:t>- Создание механизмов мотивации педагогических работников к повышению качества работы и непрерывному профессиональному развитию;</w:t>
            </w:r>
          </w:p>
          <w:p>
            <w:pPr>
              <w:pStyle w:val="NormalWeb"/>
              <w:tabs>
                <w:tab w:val="left" w:pos="993" w:leader="none"/>
              </w:tabs>
              <w:spacing w:lineRule="auto" w:line="276" w:before="0" w:after="0"/>
              <w:jc w:val="both"/>
              <w:rPr/>
            </w:pPr>
            <w:r>
              <w:rPr>
                <w:sz w:val="24"/>
                <w:szCs w:val="24"/>
              </w:rPr>
              <w:t>-Обеспечение современного уровня надежности и технологических процедур оценки качества образования, формирование культуры оценки качества образования на уровне района;</w:t>
            </w:r>
          </w:p>
          <w:p>
            <w:pPr>
              <w:pStyle w:val="NormalWeb"/>
              <w:tabs>
                <w:tab w:val="left" w:pos="993" w:leader="none"/>
              </w:tabs>
              <w:spacing w:lineRule="auto" w:line="276" w:before="0" w:after="0"/>
              <w:jc w:val="both"/>
              <w:rPr/>
            </w:pPr>
            <w:r>
              <w:rPr>
                <w:sz w:val="24"/>
                <w:szCs w:val="24"/>
              </w:rPr>
              <w:t>-Оказание психолого-педагогической помощи детям, испытывающим трудности в освоении основных общеобразовательных программ, развитии и социальной адаптации, в том числе детям с ограниченными возможностями здоровья, детям – инвалидам;</w:t>
            </w:r>
          </w:p>
          <w:p>
            <w:pPr>
              <w:pStyle w:val="NormalWeb"/>
              <w:tabs>
                <w:tab w:val="left" w:pos="993" w:leader="none"/>
              </w:tabs>
              <w:spacing w:lineRule="auto" w:line="276" w:before="0" w:after="0"/>
              <w:jc w:val="both"/>
              <w:rPr/>
            </w:pPr>
            <w:r>
              <w:rPr>
                <w:sz w:val="24"/>
                <w:szCs w:val="24"/>
              </w:rPr>
              <w:t>- Создание условий для сохранения и укрепления здоровья обучающихся и воспитанников.</w:t>
            </w:r>
          </w:p>
        </w:tc>
      </w:tr>
      <w:tr>
        <w:trPr>
          <w:trHeight w:val="1483" w:hRule="atLeast"/>
        </w:trPr>
        <w:tc>
          <w:tcPr>
            <w:tcW w:w="2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Целевые индикаторы результатов подпрограммы</w:t>
            </w:r>
          </w:p>
        </w:tc>
        <w:tc>
          <w:tcPr>
            <w:tcW w:w="7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Переход на ФГОС дошкольного образования;</w:t>
            </w:r>
          </w:p>
          <w:p>
            <w:pPr>
              <w:pStyle w:val="Normal"/>
              <w:spacing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Переход на ФГОС общего образования;</w:t>
            </w:r>
          </w:p>
          <w:p>
            <w:pPr>
              <w:pStyle w:val="Normal"/>
              <w:spacing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Систематическая аттестация педагогических работников;</w:t>
            </w:r>
          </w:p>
          <w:p>
            <w:pPr>
              <w:pStyle w:val="Normal"/>
              <w:spacing w:before="0" w:after="0"/>
              <w:jc w:val="both"/>
              <w:rPr/>
            </w:pPr>
            <w:r>
              <w:rPr>
                <w:rStyle w:val="Pagenumber"/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Предоставление нормативно закреплённого перечня сведений на официальных сайтах ОО</w:t>
            </w:r>
          </w:p>
          <w:p>
            <w:pPr>
              <w:pStyle w:val="Normal"/>
              <w:spacing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- Отсутствие увеличения роста количества обучающихся с ОВЗ и детей-инвалидов не охваченных коррекционным обучением;</w:t>
            </w:r>
          </w:p>
          <w:p>
            <w:pPr>
              <w:pStyle w:val="Normal"/>
              <w:spacing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Улучшение здоровья обучающихся.</w:t>
            </w:r>
          </w:p>
        </w:tc>
      </w:tr>
      <w:tr>
        <w:trPr>
          <w:trHeight w:val="951" w:hRule="atLeast"/>
        </w:trPr>
        <w:tc>
          <w:tcPr>
            <w:tcW w:w="2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Этапы и сроки реализации  подпрограммы </w:t>
            </w:r>
          </w:p>
        </w:tc>
        <w:tc>
          <w:tcPr>
            <w:tcW w:w="7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Сроки реализации  2019 -2023 годы</w:t>
            </w:r>
          </w:p>
          <w:p>
            <w:pPr>
              <w:pStyle w:val="Normal"/>
              <w:spacing w:before="0" w:after="0"/>
              <w:jc w:val="both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Реализация подпрограммы будет осуществляться без выделения этапов.</w:t>
            </w:r>
          </w:p>
        </w:tc>
      </w:tr>
      <w:tr>
        <w:trPr>
          <w:trHeight w:val="551" w:hRule="atLeast"/>
        </w:trPr>
        <w:tc>
          <w:tcPr>
            <w:tcW w:w="2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Финансовое обеспечение  подпрограммы</w:t>
            </w:r>
          </w:p>
        </w:tc>
        <w:tc>
          <w:tcPr>
            <w:tcW w:w="7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TableParagraph"/>
              <w:ind w:left="4" w:right="160" w:hanging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Общий объем бюджетных ассигнований на реализацию подпрограммы  за счет всех источников финансирования составляет </w:t>
            </w:r>
            <w:r>
              <w:rPr>
                <w:b/>
                <w:bCs/>
                <w:sz w:val="24"/>
                <w:szCs w:val="24"/>
                <w:lang w:val="ru-RU"/>
              </w:rPr>
              <w:t xml:space="preserve">  </w:t>
            </w:r>
            <w:r>
              <w:rPr>
                <w:b/>
                <w:sz w:val="24"/>
                <w:szCs w:val="24"/>
                <w:u w:val="single"/>
                <w:lang w:val="ru-RU"/>
              </w:rPr>
              <w:t>1119783</w:t>
            </w:r>
            <w:bookmarkStart w:id="0" w:name="_GoBack"/>
            <w:bookmarkEnd w:id="0"/>
            <w:r>
              <w:rPr>
                <w:b/>
                <w:sz w:val="24"/>
                <w:szCs w:val="24"/>
                <w:u w:val="single"/>
                <w:lang w:val="ru-RU"/>
              </w:rPr>
              <w:t>,86</w:t>
            </w:r>
            <w:r>
              <w:rPr>
                <w:b/>
                <w:bCs/>
                <w:sz w:val="24"/>
                <w:szCs w:val="24"/>
                <w:lang w:val="ru-RU"/>
              </w:rPr>
              <w:t xml:space="preserve">  </w:t>
            </w:r>
            <w:r>
              <w:rPr>
                <w:sz w:val="24"/>
                <w:szCs w:val="24"/>
                <w:lang w:val="ru-RU"/>
              </w:rPr>
              <w:t xml:space="preserve"> тысяч рублей, в том числе по годам: </w:t>
            </w:r>
          </w:p>
          <w:p>
            <w:pPr>
              <w:pStyle w:val="TableParagraph"/>
              <w:spacing w:before="1" w:after="200"/>
              <w:ind w:left="4" w:hanging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2019 – 324815,43  тыс.руб. </w:t>
            </w:r>
          </w:p>
          <w:p>
            <w:pPr>
              <w:pStyle w:val="TableParagraph"/>
              <w:spacing w:before="1" w:after="200"/>
              <w:ind w:left="4" w:hanging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2020 – 290516,53  тыс.руб. </w:t>
            </w:r>
          </w:p>
          <w:p>
            <w:pPr>
              <w:pStyle w:val="TableParagraph"/>
              <w:spacing w:before="1" w:after="200"/>
              <w:ind w:left="4" w:hanging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2021 – 255335,53  тыс.руб. </w:t>
            </w:r>
          </w:p>
          <w:p>
            <w:pPr>
              <w:pStyle w:val="TableParagraph"/>
              <w:spacing w:before="1" w:after="200"/>
              <w:ind w:left="4" w:hanging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2022 – 249117,37  тыс.руб. </w:t>
            </w:r>
          </w:p>
          <w:p>
            <w:pPr>
              <w:pStyle w:val="TableParagraph"/>
              <w:spacing w:before="1" w:after="200"/>
              <w:ind w:left="4" w:hanging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2023 -  0,00 тыс.руб.</w:t>
            </w:r>
          </w:p>
          <w:p>
            <w:pPr>
              <w:pStyle w:val="TableParagraph"/>
              <w:ind w:left="4" w:right="159" w:hanging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Объем финансового обеспечения  подпрограммы по годам за счет местного бюджета составляет  </w:t>
            </w:r>
            <w:r>
              <w:rPr>
                <w:b/>
                <w:sz w:val="24"/>
                <w:szCs w:val="24"/>
                <w:u w:val="single"/>
                <w:lang w:val="ru-RU"/>
              </w:rPr>
              <w:t>482339,17</w:t>
            </w:r>
            <w:r>
              <w:rPr>
                <w:sz w:val="24"/>
                <w:szCs w:val="24"/>
                <w:lang w:val="ru-RU"/>
              </w:rPr>
              <w:t xml:space="preserve"> тыс. рублей:</w:t>
            </w:r>
          </w:p>
          <w:p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2019 – 150601,74  тыс.руб. </w:t>
            </w:r>
          </w:p>
          <w:p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2020 – 121427,53  тыс.руб. </w:t>
            </w:r>
          </w:p>
          <w:p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2021 –  103818,53  тыс. руб. </w:t>
            </w:r>
          </w:p>
          <w:p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2022 –  106491,37  тыс.руб. </w:t>
            </w:r>
          </w:p>
          <w:p>
            <w:pPr>
              <w:pStyle w:val="TableParagraph"/>
              <w:rPr>
                <w:lang w:val="ru-RU"/>
              </w:rPr>
            </w:pPr>
            <w:bookmarkStart w:id="1" w:name="__DdeLink__3542_812974624"/>
            <w:r>
              <w:rPr>
                <w:sz w:val="24"/>
                <w:szCs w:val="24"/>
                <w:lang w:val="ru-RU"/>
              </w:rPr>
              <w:t>2023 –  0,00  тыс.руб.</w:t>
            </w:r>
            <w:r>
              <w:rPr>
                <w:lang w:val="ru-RU"/>
              </w:rPr>
              <w:t xml:space="preserve"> </w:t>
            </w:r>
            <w:bookmarkEnd w:id="1"/>
          </w:p>
          <w:p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</w:r>
          </w:p>
          <w:p>
            <w:pPr>
              <w:pStyle w:val="TableParagraph"/>
              <w:spacing w:before="10" w:after="200"/>
              <w:ind w:right="218" w:hanging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Объем финансового обеспечения муниципальной программы по годам за счет средств из бюджета Республики Карелия </w:t>
            </w:r>
            <w:r>
              <w:rPr>
                <w:b/>
                <w:sz w:val="24"/>
                <w:szCs w:val="24"/>
                <w:u w:val="single"/>
                <w:lang w:val="ru-RU"/>
              </w:rPr>
              <w:t>637444,69</w:t>
            </w:r>
            <w:r>
              <w:rPr>
                <w:sz w:val="24"/>
                <w:szCs w:val="24"/>
                <w:lang w:val="ru-RU"/>
              </w:rPr>
              <w:t xml:space="preserve"> тыс.руб.:</w:t>
            </w:r>
          </w:p>
          <w:p>
            <w:pPr>
              <w:pStyle w:val="TableParagraph"/>
              <w:spacing w:before="10" w:after="200"/>
              <w:ind w:right="215" w:hanging="0"/>
              <w:rPr>
                <w:lang w:val="ru-RU"/>
              </w:rPr>
            </w:pPr>
            <w:r>
              <w:rPr>
                <w:lang w:val="ru-RU"/>
              </w:rPr>
              <w:t xml:space="preserve">2019 – 174213,69 </w:t>
            </w:r>
            <w:r>
              <w:rPr>
                <w:sz w:val="24"/>
                <w:szCs w:val="24"/>
                <w:lang w:val="ru-RU"/>
              </w:rPr>
              <w:t>тыс.руб.;</w:t>
            </w:r>
          </w:p>
          <w:p>
            <w:pPr>
              <w:pStyle w:val="TableParagraph"/>
              <w:spacing w:before="10" w:after="200"/>
              <w:ind w:right="215" w:hanging="0"/>
              <w:rPr>
                <w:lang w:val="ru-RU"/>
              </w:rPr>
            </w:pPr>
            <w:r>
              <w:rPr>
                <w:lang w:val="ru-RU"/>
              </w:rPr>
              <w:t>2020 – 169089,00</w:t>
            </w:r>
            <w:r>
              <w:rPr>
                <w:sz w:val="24"/>
                <w:szCs w:val="24"/>
                <w:lang w:val="ru-RU"/>
              </w:rPr>
              <w:t xml:space="preserve"> тыс.руб.;</w:t>
            </w:r>
          </w:p>
          <w:p>
            <w:pPr>
              <w:pStyle w:val="TableParagraph"/>
              <w:spacing w:before="10" w:after="200"/>
              <w:ind w:right="215" w:hanging="0"/>
              <w:rPr>
                <w:lang w:val="ru-RU"/>
              </w:rPr>
            </w:pPr>
            <w:r>
              <w:rPr>
                <w:lang w:val="ru-RU"/>
              </w:rPr>
              <w:t>2021 – 151516,00</w:t>
            </w:r>
            <w:r>
              <w:rPr>
                <w:sz w:val="24"/>
                <w:szCs w:val="24"/>
                <w:lang w:val="ru-RU"/>
              </w:rPr>
              <w:t xml:space="preserve"> тыс.руб.;</w:t>
            </w:r>
          </w:p>
          <w:p>
            <w:pPr>
              <w:pStyle w:val="TableParagraph"/>
              <w:spacing w:before="10" w:after="200"/>
              <w:ind w:right="215" w:hanging="0"/>
              <w:rPr>
                <w:lang w:val="ru-RU"/>
              </w:rPr>
            </w:pPr>
            <w:r>
              <w:rPr>
                <w:lang w:val="ru-RU"/>
              </w:rPr>
              <w:t>2022 – 142626,00</w:t>
            </w:r>
            <w:r>
              <w:rPr>
                <w:sz w:val="24"/>
                <w:szCs w:val="24"/>
                <w:lang w:val="ru-RU"/>
              </w:rPr>
              <w:t xml:space="preserve"> тыс.руб.;</w:t>
            </w:r>
          </w:p>
          <w:p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2023 – 0,00 </w:t>
            </w:r>
            <w:r>
              <w:rPr>
                <w:sz w:val="24"/>
                <w:szCs w:val="24"/>
                <w:lang w:val="ru-RU"/>
              </w:rPr>
              <w:t>тыс.руб.</w:t>
            </w:r>
          </w:p>
        </w:tc>
      </w:tr>
    </w:tbl>
    <w:p>
      <w:pPr>
        <w:pStyle w:val="Normal"/>
        <w:spacing w:before="0" w:after="0"/>
        <w:ind w:left="709" w:hanging="709"/>
        <w:jc w:val="both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                                   </w:t>
      </w:r>
    </w:p>
    <w:p>
      <w:pPr>
        <w:pStyle w:val="Normal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Verdana"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2121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Calibri"/>
      <w:color w:val="00000A"/>
      <w:kern w:val="0"/>
      <w:sz w:val="22"/>
      <w:szCs w:val="22"/>
      <w:lang w:eastAsia="zh-CN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d21219"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TableParagraph" w:customStyle="1">
    <w:name w:val="Table Paragraph"/>
    <w:basedOn w:val="Normal"/>
    <w:qFormat/>
    <w:rsid w:val="00d21219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lang w:val="en-US"/>
    </w:rPr>
  </w:style>
  <w:style w:type="paragraph" w:styleId="NormalWeb">
    <w:name w:val="Normal (Web)"/>
    <w:basedOn w:val="Normal"/>
    <w:qFormat/>
    <w:rsid w:val="00d21219"/>
    <w:pPr>
      <w:spacing w:lineRule="auto" w:line="240" w:before="33" w:after="33"/>
    </w:pPr>
    <w:rPr>
      <w:rFonts w:ascii="Times New Roman" w:hAnsi="Times New Roman" w:eastAsia="Times New Roman" w:cs="Times New Roman"/>
      <w:sz w:val="20"/>
      <w:szCs w:val="20"/>
    </w:rPr>
  </w:style>
  <w:style w:type="paragraph" w:styleId="ConsPlusNormal" w:customStyle="1">
    <w:name w:val="ConsPlusNormal"/>
    <w:qFormat/>
    <w:rsid w:val="00d21219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00000A"/>
      <w:kern w:val="0"/>
      <w:sz w:val="22"/>
      <w:szCs w:val="20"/>
      <w:lang w:eastAsia="zh-CN" w:val="ru-RU" w:bidi="ar-SA"/>
    </w:rPr>
  </w:style>
  <w:style w:type="paragraph" w:styleId="Style19" w:customStyle="1">
    <w:name w:val=" Знак Знак"/>
    <w:basedOn w:val="Normal"/>
    <w:qFormat/>
    <w:rsid w:val="00d21219"/>
    <w:pPr>
      <w:suppressAutoHyphens w:val="false"/>
      <w:spacing w:lineRule="exact" w:line="240" w:before="0" w:after="160"/>
    </w:pPr>
    <w:rPr>
      <w:rFonts w:ascii="Verdana" w:hAnsi="Verdana" w:eastAsia="Times New Roman" w:cs="Times New Roman"/>
      <w:color w:val="00000A"/>
      <w:sz w:val="20"/>
      <w:szCs w:val="20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LibreOffice/6.0.1.1$Windows_x86 LibreOffice_project/60bfb1526849283ce2491346ed2aa51c465abfe6</Application>
  <Pages>2</Pages>
  <Words>339</Words>
  <Characters>2606</Characters>
  <CharactersWithSpaces>2997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2020-01-07T15:57:00Z</dcterms:created>
  <dc:creator>Ирина</dc:creator>
  <dc:description/>
  <dc:language>ru-RU</dc:language>
  <cp:lastModifiedBy/>
  <cp:lastPrinted>2020-01-09T15:17:31Z</cp:lastPrinted>
  <dcterms:modified xsi:type="dcterms:W3CDTF">2020-01-09T15:18:08Z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