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B1EDA8" w14:textId="71512C53" w:rsidR="00087ECC" w:rsidRPr="006A4574" w:rsidRDefault="00B43F41" w:rsidP="00C70426">
      <w:pPr>
        <w:pStyle w:val="ad"/>
        <w:ind w:firstLine="567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Утверждена</w:t>
      </w:r>
    </w:p>
    <w:p w14:paraId="53F736A6" w14:textId="77777777" w:rsidR="00087ECC" w:rsidRPr="006A4574" w:rsidRDefault="00087ECC" w:rsidP="00C70426">
      <w:pPr>
        <w:pStyle w:val="ad"/>
        <w:ind w:firstLine="5670"/>
        <w:jc w:val="right"/>
        <w:rPr>
          <w:rFonts w:ascii="Times New Roman" w:hAnsi="Times New Roman" w:cs="Times New Roman"/>
          <w:sz w:val="20"/>
          <w:szCs w:val="20"/>
        </w:rPr>
      </w:pPr>
      <w:r w:rsidRPr="006A4574">
        <w:rPr>
          <w:rFonts w:ascii="Times New Roman" w:hAnsi="Times New Roman" w:cs="Times New Roman"/>
          <w:sz w:val="20"/>
          <w:szCs w:val="20"/>
        </w:rPr>
        <w:t>постановлением Администрации</w:t>
      </w:r>
    </w:p>
    <w:p w14:paraId="4583DEBB" w14:textId="77777777" w:rsidR="006A4574" w:rsidRDefault="00087ECC" w:rsidP="00C70426">
      <w:pPr>
        <w:pStyle w:val="ad"/>
        <w:ind w:firstLine="5670"/>
        <w:jc w:val="right"/>
        <w:rPr>
          <w:rFonts w:ascii="Times New Roman" w:hAnsi="Times New Roman" w:cs="Times New Roman"/>
          <w:sz w:val="20"/>
          <w:szCs w:val="20"/>
        </w:rPr>
      </w:pPr>
      <w:r w:rsidRPr="006A4574">
        <w:rPr>
          <w:rFonts w:ascii="Times New Roman" w:hAnsi="Times New Roman" w:cs="Times New Roman"/>
          <w:sz w:val="20"/>
          <w:szCs w:val="20"/>
        </w:rPr>
        <w:t>Лахденпохского муниципального района</w:t>
      </w:r>
      <w:r w:rsidR="006A4574" w:rsidRPr="006A457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690C5C3" w14:textId="77777777" w:rsidR="00C70426" w:rsidRPr="006A4574" w:rsidRDefault="00C70426" w:rsidP="00C70426">
      <w:pPr>
        <w:pStyle w:val="ad"/>
        <w:ind w:firstLine="5670"/>
        <w:jc w:val="right"/>
        <w:rPr>
          <w:rFonts w:ascii="Times New Roman" w:hAnsi="Times New Roman" w:cs="Times New Roman"/>
          <w:sz w:val="20"/>
          <w:szCs w:val="20"/>
        </w:rPr>
      </w:pPr>
    </w:p>
    <w:p w14:paraId="2E535099" w14:textId="4BED5616" w:rsidR="00087ECC" w:rsidRPr="001778B9" w:rsidRDefault="003B594D" w:rsidP="00C70426">
      <w:pPr>
        <w:pStyle w:val="ad"/>
        <w:spacing w:line="36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19</w:t>
      </w:r>
      <w:r w:rsidR="00C54EAB">
        <w:rPr>
          <w:rFonts w:ascii="Times New Roman" w:hAnsi="Times New Roman" w:cs="Times New Roman"/>
          <w:sz w:val="20"/>
          <w:szCs w:val="20"/>
        </w:rPr>
        <w:t>.02</w:t>
      </w:r>
      <w:r w:rsidR="00747656">
        <w:rPr>
          <w:rFonts w:ascii="Times New Roman" w:hAnsi="Times New Roman" w:cs="Times New Roman"/>
          <w:sz w:val="20"/>
          <w:szCs w:val="20"/>
        </w:rPr>
        <w:t>.</w:t>
      </w:r>
      <w:r w:rsidR="001778B9" w:rsidRPr="001778B9">
        <w:rPr>
          <w:rFonts w:ascii="Times New Roman" w:hAnsi="Times New Roman" w:cs="Times New Roman"/>
          <w:sz w:val="20"/>
          <w:szCs w:val="20"/>
        </w:rPr>
        <w:t>202</w:t>
      </w:r>
      <w:r w:rsidR="00C54EAB">
        <w:rPr>
          <w:rFonts w:ascii="Times New Roman" w:hAnsi="Times New Roman" w:cs="Times New Roman"/>
          <w:sz w:val="20"/>
          <w:szCs w:val="20"/>
        </w:rPr>
        <w:t>5</w:t>
      </w:r>
      <w:r>
        <w:rPr>
          <w:rFonts w:ascii="Times New Roman" w:hAnsi="Times New Roman" w:cs="Times New Roman"/>
          <w:sz w:val="20"/>
          <w:szCs w:val="20"/>
        </w:rPr>
        <w:t xml:space="preserve"> № 110</w:t>
      </w:r>
      <w:bookmarkStart w:id="0" w:name="_GoBack"/>
      <w:bookmarkEnd w:id="0"/>
    </w:p>
    <w:p w14:paraId="107F8C1E" w14:textId="77777777" w:rsidR="001778B9" w:rsidRDefault="001778B9" w:rsidP="00C70426">
      <w:pPr>
        <w:pStyle w:val="ad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207481" w14:textId="77777777" w:rsidR="00B43F41" w:rsidRDefault="00087ECC" w:rsidP="006A4574">
      <w:pPr>
        <w:pStyle w:val="ad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4574">
        <w:rPr>
          <w:rFonts w:ascii="Times New Roman" w:hAnsi="Times New Roman" w:cs="Times New Roman"/>
          <w:b/>
          <w:bCs/>
          <w:sz w:val="28"/>
          <w:szCs w:val="28"/>
        </w:rPr>
        <w:t>Программа</w:t>
      </w:r>
    </w:p>
    <w:p w14:paraId="4FCF6DA1" w14:textId="77777777" w:rsidR="00B43F41" w:rsidRDefault="00087ECC" w:rsidP="006A4574">
      <w:pPr>
        <w:pStyle w:val="ad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4574">
        <w:rPr>
          <w:rFonts w:ascii="Times New Roman" w:hAnsi="Times New Roman" w:cs="Times New Roman"/>
          <w:b/>
          <w:bCs/>
          <w:sz w:val="28"/>
          <w:szCs w:val="28"/>
        </w:rPr>
        <w:t>озд</w:t>
      </w:r>
      <w:r w:rsidR="00B43F41">
        <w:rPr>
          <w:rFonts w:ascii="Times New Roman" w:hAnsi="Times New Roman" w:cs="Times New Roman"/>
          <w:b/>
          <w:bCs/>
          <w:sz w:val="28"/>
          <w:szCs w:val="28"/>
        </w:rPr>
        <w:t>оровления муниципальных финансов</w:t>
      </w:r>
    </w:p>
    <w:p w14:paraId="145983FB" w14:textId="63AD9400" w:rsidR="00087ECC" w:rsidRDefault="00087ECC" w:rsidP="006A4574">
      <w:pPr>
        <w:pStyle w:val="ad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4574">
        <w:rPr>
          <w:rFonts w:ascii="Times New Roman" w:hAnsi="Times New Roman" w:cs="Times New Roman"/>
          <w:b/>
          <w:bCs/>
          <w:sz w:val="28"/>
          <w:szCs w:val="28"/>
        </w:rPr>
        <w:t xml:space="preserve">Лахденпохского муниципального района на </w:t>
      </w:r>
      <w:r w:rsidR="001778B9">
        <w:rPr>
          <w:rFonts w:ascii="Times New Roman" w:hAnsi="Times New Roman" w:cs="Times New Roman"/>
          <w:b/>
          <w:bCs/>
          <w:sz w:val="28"/>
          <w:szCs w:val="28"/>
        </w:rPr>
        <w:t>2025-2027 годы</w:t>
      </w:r>
    </w:p>
    <w:p w14:paraId="22FEF2DF" w14:textId="77777777" w:rsidR="006A4574" w:rsidRPr="006A4574" w:rsidRDefault="006A4574" w:rsidP="006A4574">
      <w:pPr>
        <w:pStyle w:val="ad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96C4F" w14:textId="3C922D7D" w:rsidR="00087ECC" w:rsidRDefault="00087ECC" w:rsidP="006A4574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4574">
        <w:rPr>
          <w:rFonts w:ascii="Times New Roman" w:hAnsi="Times New Roman" w:cs="Times New Roman"/>
          <w:sz w:val="28"/>
          <w:szCs w:val="28"/>
        </w:rPr>
        <w:t xml:space="preserve">Программа оздоровления муниципальных финансов Лахденпохского муниципального района на </w:t>
      </w:r>
      <w:r w:rsidR="001778B9">
        <w:rPr>
          <w:rFonts w:ascii="Times New Roman" w:hAnsi="Times New Roman" w:cs="Times New Roman"/>
          <w:sz w:val="28"/>
          <w:szCs w:val="28"/>
        </w:rPr>
        <w:t>2025-2027 годы</w:t>
      </w:r>
      <w:r w:rsidRPr="006A4574">
        <w:rPr>
          <w:rFonts w:ascii="Times New Roman" w:hAnsi="Times New Roman" w:cs="Times New Roman"/>
          <w:sz w:val="28"/>
          <w:szCs w:val="28"/>
        </w:rPr>
        <w:t xml:space="preserve"> (далее - Программа) разработана в целях формирования бюджетной политики </w:t>
      </w:r>
      <w:bookmarkStart w:id="1" w:name="_Hlk36666957"/>
      <w:r w:rsidRPr="006A4574">
        <w:rPr>
          <w:rFonts w:ascii="Times New Roman" w:hAnsi="Times New Roman" w:cs="Times New Roman"/>
          <w:sz w:val="28"/>
          <w:szCs w:val="28"/>
        </w:rPr>
        <w:t>Лахденпохского муниципального района</w:t>
      </w:r>
      <w:bookmarkEnd w:id="1"/>
      <w:r w:rsidRPr="006A4574">
        <w:rPr>
          <w:rFonts w:ascii="Times New Roman" w:hAnsi="Times New Roman" w:cs="Times New Roman"/>
          <w:sz w:val="28"/>
          <w:szCs w:val="28"/>
        </w:rPr>
        <w:t xml:space="preserve">, ориентированной на </w:t>
      </w:r>
      <w:r w:rsidR="001778B9" w:rsidRPr="001778B9">
        <w:rPr>
          <w:rFonts w:ascii="Times New Roman" w:hAnsi="Times New Roman" w:cs="Times New Roman"/>
          <w:sz w:val="28"/>
          <w:szCs w:val="28"/>
        </w:rPr>
        <w:t>сохранение социальной и финансовой стабильности</w:t>
      </w:r>
      <w:r w:rsidR="001778B9">
        <w:rPr>
          <w:rFonts w:ascii="Times New Roman" w:hAnsi="Times New Roman" w:cs="Times New Roman"/>
          <w:sz w:val="28"/>
          <w:szCs w:val="28"/>
        </w:rPr>
        <w:t>, создание условий для устойчивого</w:t>
      </w:r>
      <w:r w:rsidR="001778B9" w:rsidRPr="001778B9">
        <w:rPr>
          <w:rFonts w:ascii="Times New Roman" w:hAnsi="Times New Roman" w:cs="Times New Roman"/>
          <w:sz w:val="28"/>
          <w:szCs w:val="28"/>
        </w:rPr>
        <w:t xml:space="preserve"> </w:t>
      </w:r>
      <w:r w:rsidRPr="006A4574">
        <w:rPr>
          <w:rFonts w:ascii="Times New Roman" w:hAnsi="Times New Roman" w:cs="Times New Roman"/>
          <w:sz w:val="28"/>
          <w:szCs w:val="28"/>
        </w:rPr>
        <w:t>социально-экономическ</w:t>
      </w:r>
      <w:r w:rsidR="001778B9">
        <w:rPr>
          <w:rFonts w:ascii="Times New Roman" w:hAnsi="Times New Roman" w:cs="Times New Roman"/>
          <w:sz w:val="28"/>
          <w:szCs w:val="28"/>
        </w:rPr>
        <w:t>ого</w:t>
      </w:r>
      <w:r w:rsidRPr="006A4574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1778B9">
        <w:rPr>
          <w:rFonts w:ascii="Times New Roman" w:hAnsi="Times New Roman" w:cs="Times New Roman"/>
          <w:sz w:val="28"/>
          <w:szCs w:val="28"/>
        </w:rPr>
        <w:t>я Лахденпохского муниципального района</w:t>
      </w:r>
      <w:r w:rsidRPr="006A4574">
        <w:rPr>
          <w:rFonts w:ascii="Times New Roman" w:hAnsi="Times New Roman" w:cs="Times New Roman"/>
          <w:sz w:val="28"/>
          <w:szCs w:val="28"/>
        </w:rPr>
        <w:t>, эффективного управления муниципальными финансами и укрепления устойчивости бюджетной системы Лахденпохского муниципального района и направлена на повышение собираемости налоговых и неналоговых доходов, оптимизацию расходов</w:t>
      </w:r>
      <w:proofErr w:type="gramEnd"/>
      <w:r w:rsidRPr="006A4574">
        <w:rPr>
          <w:rFonts w:ascii="Times New Roman" w:hAnsi="Times New Roman" w:cs="Times New Roman"/>
          <w:sz w:val="28"/>
          <w:szCs w:val="28"/>
        </w:rPr>
        <w:t>, ограничение бюджетного дефицита, совершенствование управления долговыми обязательствами.</w:t>
      </w:r>
    </w:p>
    <w:p w14:paraId="4EE7DA3E" w14:textId="77777777" w:rsidR="001778B9" w:rsidRDefault="001778B9" w:rsidP="006A4574">
      <w:pPr>
        <w:pStyle w:val="ad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BE93F9" w14:textId="29B80B1D" w:rsidR="00087ECC" w:rsidRPr="006A4574" w:rsidRDefault="00087ECC" w:rsidP="006A4574">
      <w:pPr>
        <w:pStyle w:val="ad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57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6A4574">
        <w:rPr>
          <w:rFonts w:ascii="Times New Roman" w:hAnsi="Times New Roman" w:cs="Times New Roman"/>
          <w:b/>
          <w:sz w:val="28"/>
          <w:szCs w:val="28"/>
        </w:rPr>
        <w:t>. Итоги реализации Программы оздоровления</w:t>
      </w:r>
    </w:p>
    <w:p w14:paraId="003F92F3" w14:textId="04451686" w:rsidR="00087ECC" w:rsidRPr="006A4574" w:rsidRDefault="00087ECC" w:rsidP="006A4574">
      <w:pPr>
        <w:pStyle w:val="ad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4574">
        <w:rPr>
          <w:rFonts w:ascii="Times New Roman" w:hAnsi="Times New Roman" w:cs="Times New Roman"/>
          <w:b/>
          <w:sz w:val="28"/>
          <w:szCs w:val="28"/>
        </w:rPr>
        <w:t xml:space="preserve">муниципальных финансов Лахденпохского муниципального района в </w:t>
      </w:r>
      <w:r w:rsidR="001778B9">
        <w:rPr>
          <w:rFonts w:ascii="Times New Roman" w:hAnsi="Times New Roman" w:cs="Times New Roman"/>
          <w:b/>
          <w:sz w:val="28"/>
          <w:szCs w:val="28"/>
        </w:rPr>
        <w:t>202</w:t>
      </w:r>
      <w:r w:rsidR="005D5CC8">
        <w:rPr>
          <w:rFonts w:ascii="Times New Roman" w:hAnsi="Times New Roman" w:cs="Times New Roman"/>
          <w:b/>
          <w:sz w:val="28"/>
          <w:szCs w:val="28"/>
        </w:rPr>
        <w:t>2</w:t>
      </w:r>
      <w:r w:rsidR="001778B9">
        <w:rPr>
          <w:rFonts w:ascii="Times New Roman" w:hAnsi="Times New Roman" w:cs="Times New Roman"/>
          <w:b/>
          <w:sz w:val="28"/>
          <w:szCs w:val="28"/>
        </w:rPr>
        <w:t>-202</w:t>
      </w:r>
      <w:r w:rsidR="0067559F">
        <w:rPr>
          <w:rFonts w:ascii="Times New Roman" w:hAnsi="Times New Roman" w:cs="Times New Roman"/>
          <w:b/>
          <w:sz w:val="28"/>
          <w:szCs w:val="28"/>
        </w:rPr>
        <w:t>4</w:t>
      </w:r>
      <w:r w:rsidR="001778B9">
        <w:rPr>
          <w:rFonts w:ascii="Times New Roman" w:hAnsi="Times New Roman" w:cs="Times New Roman"/>
          <w:b/>
          <w:sz w:val="28"/>
          <w:szCs w:val="28"/>
        </w:rPr>
        <w:t xml:space="preserve"> годах </w:t>
      </w:r>
    </w:p>
    <w:p w14:paraId="21F53671" w14:textId="77777777" w:rsidR="00087ECC" w:rsidRPr="006A4574" w:rsidRDefault="00087ECC" w:rsidP="006A4574">
      <w:pPr>
        <w:pStyle w:val="ad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6E539BD2" w14:textId="75110AEC" w:rsidR="00A01748" w:rsidRDefault="00087ECC" w:rsidP="006A4574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574">
        <w:rPr>
          <w:rFonts w:ascii="Times New Roman" w:hAnsi="Times New Roman" w:cs="Times New Roman"/>
          <w:sz w:val="28"/>
          <w:szCs w:val="28"/>
        </w:rPr>
        <w:t>Приоритетами Лахденпохского муниципального района в истекшем периоде явились обеспечение устойчивости и сбалансированности</w:t>
      </w:r>
      <w:r w:rsidR="001778B9">
        <w:rPr>
          <w:rFonts w:ascii="Times New Roman" w:hAnsi="Times New Roman" w:cs="Times New Roman"/>
          <w:sz w:val="28"/>
          <w:szCs w:val="28"/>
        </w:rPr>
        <w:t xml:space="preserve"> консолидированного </w:t>
      </w:r>
      <w:r w:rsidRPr="006A4574">
        <w:rPr>
          <w:rFonts w:ascii="Times New Roman" w:hAnsi="Times New Roman" w:cs="Times New Roman"/>
          <w:sz w:val="28"/>
          <w:szCs w:val="28"/>
        </w:rPr>
        <w:t>бюджета Лахденпохского муниципального района, гарантия исполнения основных социальных и жизнеобеспечивающих расходов бюджета</w:t>
      </w:r>
      <w:r w:rsidR="00A01748" w:rsidRPr="006A4574">
        <w:rPr>
          <w:rFonts w:ascii="Times New Roman" w:hAnsi="Times New Roman" w:cs="Times New Roman"/>
          <w:sz w:val="28"/>
          <w:szCs w:val="28"/>
        </w:rPr>
        <w:t xml:space="preserve"> и эффективной работы </w:t>
      </w:r>
      <w:r w:rsidR="001778B9" w:rsidRPr="001778B9">
        <w:rPr>
          <w:rFonts w:ascii="Times New Roman" w:hAnsi="Times New Roman" w:cs="Times New Roman"/>
          <w:sz w:val="28"/>
          <w:szCs w:val="28"/>
        </w:rPr>
        <w:t>в современных условиях повышенной экономической неопределенности</w:t>
      </w:r>
      <w:r w:rsidR="00A01748" w:rsidRPr="006A457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88DCC70" w14:textId="3E1A55BE" w:rsidR="00A01748" w:rsidRPr="006A4574" w:rsidRDefault="00A01748" w:rsidP="006A4574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574">
        <w:rPr>
          <w:rFonts w:ascii="Times New Roman" w:hAnsi="Times New Roman" w:cs="Times New Roman"/>
          <w:sz w:val="28"/>
          <w:szCs w:val="28"/>
        </w:rPr>
        <w:t xml:space="preserve">Для органов местного самоуправления района стратегической задачей остается развитие малого и среднего предпринимательства, создание новых рабочих мест, рост заработной платы. </w:t>
      </w:r>
    </w:p>
    <w:p w14:paraId="3055CC79" w14:textId="31AB1D4E" w:rsidR="00747656" w:rsidRPr="00747656" w:rsidRDefault="00A01748" w:rsidP="00747656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574">
        <w:rPr>
          <w:rFonts w:ascii="Times New Roman" w:hAnsi="Times New Roman" w:cs="Times New Roman"/>
          <w:sz w:val="28"/>
          <w:szCs w:val="28"/>
        </w:rPr>
        <w:t>Демографическая ситуация в районе на протяжении ряда лет остается сложной.</w:t>
      </w:r>
      <w:r w:rsidR="00747656" w:rsidRPr="00747656">
        <w:rPr>
          <w:rFonts w:ascii="Times New Roman" w:eastAsia="Times New Roman" w:hAnsi="Times New Roman" w:cs="Times New Roman"/>
          <w:color w:val="00000A"/>
          <w:kern w:val="2"/>
          <w:sz w:val="24"/>
          <w:szCs w:val="24"/>
          <w:lang w:eastAsia="x-none"/>
        </w:rPr>
        <w:t xml:space="preserve"> </w:t>
      </w:r>
      <w:r w:rsidR="00747656" w:rsidRPr="00747656">
        <w:rPr>
          <w:rFonts w:ascii="Times New Roman" w:hAnsi="Times New Roman" w:cs="Times New Roman"/>
          <w:sz w:val="28"/>
          <w:szCs w:val="28"/>
        </w:rPr>
        <w:t xml:space="preserve">По итогам 2022 года миграционный прирост граждан снизился, общий миграционный прирост составил 20 чел., по итогам 2023 года наблюдается миграционный отток населения  - 94 чел. Сохраняется проблема естественной убыли населения. Число </w:t>
      </w:r>
      <w:proofErr w:type="gramStart"/>
      <w:r w:rsidR="00747656" w:rsidRPr="00747656">
        <w:rPr>
          <w:rFonts w:ascii="Times New Roman" w:hAnsi="Times New Roman" w:cs="Times New Roman"/>
          <w:sz w:val="28"/>
          <w:szCs w:val="28"/>
        </w:rPr>
        <w:t>умерших</w:t>
      </w:r>
      <w:proofErr w:type="gramEnd"/>
      <w:r w:rsidR="00747656" w:rsidRPr="00747656">
        <w:rPr>
          <w:rFonts w:ascii="Times New Roman" w:hAnsi="Times New Roman" w:cs="Times New Roman"/>
          <w:sz w:val="28"/>
          <w:szCs w:val="28"/>
        </w:rPr>
        <w:t xml:space="preserve"> превышает число родившихся в 2,5 раза. Численность постоянного  населения с учетом итогов Всероссийской переписи населения 2020 года на 1 января 2023 года составляет 10 709 человек, на 1 января 2024 года – 10</w:t>
      </w:r>
      <w:r w:rsidR="00747656">
        <w:rPr>
          <w:rFonts w:ascii="Times New Roman" w:hAnsi="Times New Roman" w:cs="Times New Roman"/>
          <w:sz w:val="28"/>
          <w:szCs w:val="28"/>
        </w:rPr>
        <w:t xml:space="preserve"> </w:t>
      </w:r>
      <w:r w:rsidR="00747656" w:rsidRPr="00747656">
        <w:rPr>
          <w:rFonts w:ascii="Times New Roman" w:hAnsi="Times New Roman" w:cs="Times New Roman"/>
          <w:sz w:val="28"/>
          <w:szCs w:val="28"/>
        </w:rPr>
        <w:t xml:space="preserve">502 человека, </w:t>
      </w:r>
    </w:p>
    <w:p w14:paraId="2B7B0B45" w14:textId="4597509D" w:rsidR="00747656" w:rsidRPr="00747656" w:rsidRDefault="00747656" w:rsidP="00747656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656">
        <w:rPr>
          <w:rFonts w:ascii="Times New Roman" w:hAnsi="Times New Roman" w:cs="Times New Roman"/>
          <w:sz w:val="28"/>
          <w:szCs w:val="28"/>
        </w:rPr>
        <w:lastRenderedPageBreak/>
        <w:t xml:space="preserve">Коэффициент демографической нагрузки в районе высокий – 899 человек нетрудоспособного возраста на 1000 лиц трудоспособного возраста (на 01.01.2023). </w:t>
      </w:r>
    </w:p>
    <w:p w14:paraId="2A6C10E3" w14:textId="77777777" w:rsidR="00747656" w:rsidRPr="00747656" w:rsidRDefault="00747656" w:rsidP="00747656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656">
        <w:rPr>
          <w:rFonts w:ascii="Times New Roman" w:hAnsi="Times New Roman" w:cs="Times New Roman"/>
          <w:sz w:val="28"/>
          <w:szCs w:val="28"/>
        </w:rPr>
        <w:t xml:space="preserve">Предполагается, что в среднесрочной перспективе темпы сокращения численности населения в районе снизятся. В целях улучшения демографической ситуации предусматривается продолжение реализации программ, планов и комплексов мер по данной проблеме. </w:t>
      </w:r>
    </w:p>
    <w:p w14:paraId="685CBA6E" w14:textId="77777777" w:rsidR="0067559F" w:rsidRDefault="00747656" w:rsidP="00747656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656">
        <w:rPr>
          <w:rFonts w:ascii="Times New Roman" w:hAnsi="Times New Roman" w:cs="Times New Roman"/>
          <w:sz w:val="28"/>
          <w:szCs w:val="28"/>
        </w:rPr>
        <w:t>Ситуация на рынке труда характеризуется показателями занятости и безработицы и определяется в основном состоянием экономики, созданием новых рабочих мест, а также состоянием демографических и миграционных процессов.</w:t>
      </w:r>
    </w:p>
    <w:p w14:paraId="02E6AED3" w14:textId="38D75BAA" w:rsidR="00747656" w:rsidRPr="00747656" w:rsidRDefault="00747656" w:rsidP="00747656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7656">
        <w:rPr>
          <w:rFonts w:ascii="Times New Roman" w:hAnsi="Times New Roman" w:cs="Times New Roman"/>
          <w:sz w:val="28"/>
          <w:szCs w:val="28"/>
        </w:rPr>
        <w:t xml:space="preserve">Если к началу 2022 года уровень регистрируемой безработицы составил 2,1% (на 21,7% ниже аналогичного периода 2021 года (2,68%)), то к началу 2023 года уровень составил 1,1% (снижение на </w:t>
      </w:r>
      <w:r w:rsidR="0067559F">
        <w:rPr>
          <w:rFonts w:ascii="Times New Roman" w:hAnsi="Times New Roman" w:cs="Times New Roman"/>
          <w:sz w:val="28"/>
          <w:szCs w:val="28"/>
        </w:rPr>
        <w:t>47,6%), к началу 2024 года – 0,52% (снижение на 45,5%), то на 01.01.2025 уровень безработицы уже достиг размера 0,28%.</w:t>
      </w:r>
    </w:p>
    <w:p w14:paraId="10914E52" w14:textId="2C7F1B11" w:rsidR="0067559F" w:rsidRPr="0067559F" w:rsidRDefault="0067559F" w:rsidP="0067559F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59F">
        <w:rPr>
          <w:rFonts w:ascii="Times New Roman" w:hAnsi="Times New Roman" w:cs="Times New Roman"/>
          <w:sz w:val="28"/>
          <w:szCs w:val="28"/>
        </w:rPr>
        <w:t>Официально зарегистрировано безработных на 1 января 2025 года – 14 человек, что на 54,8% ниже уровня 2023 года (31 человек).</w:t>
      </w:r>
    </w:p>
    <w:p w14:paraId="4C1DC9CA" w14:textId="77777777" w:rsidR="00747656" w:rsidRPr="00293EDF" w:rsidRDefault="00747656" w:rsidP="00747656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656">
        <w:rPr>
          <w:rFonts w:ascii="Times New Roman" w:hAnsi="Times New Roman" w:cs="Times New Roman"/>
          <w:sz w:val="28"/>
          <w:szCs w:val="28"/>
        </w:rPr>
        <w:t xml:space="preserve">В 2024 году среднегодовая численность работников, занятых в экономике, прогнозируется в количестве 3,3 тыс. человек. В структуре общей </w:t>
      </w:r>
      <w:r w:rsidRPr="00293EDF">
        <w:rPr>
          <w:rFonts w:ascii="Times New Roman" w:hAnsi="Times New Roman" w:cs="Times New Roman"/>
          <w:sz w:val="28"/>
          <w:szCs w:val="28"/>
        </w:rPr>
        <w:t xml:space="preserve">численности занятых в экономике наибольшую долю занимают работники социальной сферы, государственного и муниципального управления (27,2%), обрабатывающих производств (15,0%), сельскохозяйственной отрасли (15,7%), торговли (9,7%), ресурсоснабжающих организаций (5,1%). </w:t>
      </w:r>
    </w:p>
    <w:p w14:paraId="69351F84" w14:textId="1127CEE3" w:rsidR="00747656" w:rsidRDefault="00747656" w:rsidP="00747656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EDF">
        <w:rPr>
          <w:rFonts w:ascii="Times New Roman" w:hAnsi="Times New Roman" w:cs="Times New Roman"/>
          <w:sz w:val="28"/>
          <w:szCs w:val="28"/>
        </w:rPr>
        <w:t>В 2023 году в организациях и предприятиях района</w:t>
      </w:r>
      <w:r w:rsidRPr="00747656">
        <w:rPr>
          <w:rFonts w:ascii="Times New Roman" w:hAnsi="Times New Roman" w:cs="Times New Roman"/>
          <w:sz w:val="28"/>
          <w:szCs w:val="28"/>
        </w:rPr>
        <w:t xml:space="preserve"> было создано 84 новых рабочих места, что в 5,25 раза превышает плановый показатель (16 ед.).  </w:t>
      </w:r>
      <w:r w:rsidR="0067559F">
        <w:rPr>
          <w:rFonts w:ascii="Times New Roman" w:hAnsi="Times New Roman" w:cs="Times New Roman"/>
          <w:sz w:val="28"/>
          <w:szCs w:val="28"/>
        </w:rPr>
        <w:t>В</w:t>
      </w:r>
      <w:r w:rsidRPr="00747656">
        <w:rPr>
          <w:rFonts w:ascii="Times New Roman" w:hAnsi="Times New Roman" w:cs="Times New Roman"/>
          <w:sz w:val="28"/>
          <w:szCs w:val="28"/>
        </w:rPr>
        <w:t xml:space="preserve"> 2024 год</w:t>
      </w:r>
      <w:r w:rsidR="0067559F">
        <w:rPr>
          <w:rFonts w:ascii="Times New Roman" w:hAnsi="Times New Roman" w:cs="Times New Roman"/>
          <w:sz w:val="28"/>
          <w:szCs w:val="28"/>
        </w:rPr>
        <w:t>у</w:t>
      </w:r>
      <w:r w:rsidRPr="00747656">
        <w:rPr>
          <w:rFonts w:ascii="Times New Roman" w:hAnsi="Times New Roman" w:cs="Times New Roman"/>
          <w:sz w:val="28"/>
          <w:szCs w:val="28"/>
        </w:rPr>
        <w:t xml:space="preserve"> в районе было создано </w:t>
      </w:r>
      <w:r w:rsidR="00CE58A8">
        <w:rPr>
          <w:rFonts w:ascii="Times New Roman" w:hAnsi="Times New Roman" w:cs="Times New Roman"/>
          <w:sz w:val="28"/>
          <w:szCs w:val="28"/>
        </w:rPr>
        <w:t>98</w:t>
      </w:r>
      <w:r w:rsidRPr="00747656">
        <w:rPr>
          <w:rFonts w:ascii="Times New Roman" w:hAnsi="Times New Roman" w:cs="Times New Roman"/>
          <w:sz w:val="28"/>
          <w:szCs w:val="28"/>
        </w:rPr>
        <w:t xml:space="preserve"> новых рабочих мест</w:t>
      </w:r>
      <w:r w:rsidR="005D5CC8">
        <w:rPr>
          <w:rFonts w:ascii="Times New Roman" w:hAnsi="Times New Roman" w:cs="Times New Roman"/>
          <w:sz w:val="28"/>
          <w:szCs w:val="28"/>
        </w:rPr>
        <w:t>а</w:t>
      </w:r>
      <w:r w:rsidRPr="00C54EAB">
        <w:rPr>
          <w:rFonts w:ascii="Times New Roman" w:hAnsi="Times New Roman" w:cs="Times New Roman"/>
          <w:sz w:val="28"/>
          <w:szCs w:val="28"/>
        </w:rPr>
        <w:t>,</w:t>
      </w:r>
      <w:r w:rsidR="00CE58A8" w:rsidRPr="00C54EAB">
        <w:rPr>
          <w:rFonts w:ascii="Times New Roman" w:hAnsi="Times New Roman" w:cs="Times New Roman"/>
          <w:sz w:val="28"/>
          <w:szCs w:val="28"/>
        </w:rPr>
        <w:t xml:space="preserve"> что более</w:t>
      </w:r>
      <w:r w:rsidR="00CE58A8" w:rsidRPr="00CE58A8">
        <w:rPr>
          <w:rFonts w:ascii="Times New Roman" w:hAnsi="Times New Roman" w:cs="Times New Roman"/>
          <w:sz w:val="28"/>
          <w:szCs w:val="28"/>
        </w:rPr>
        <w:t xml:space="preserve"> чем в </w:t>
      </w:r>
      <w:r w:rsidR="00CE58A8">
        <w:rPr>
          <w:rFonts w:ascii="Times New Roman" w:hAnsi="Times New Roman" w:cs="Times New Roman"/>
          <w:sz w:val="28"/>
          <w:szCs w:val="28"/>
        </w:rPr>
        <w:t>4</w:t>
      </w:r>
      <w:r w:rsidR="00CE58A8" w:rsidRPr="00CE58A8">
        <w:rPr>
          <w:rFonts w:ascii="Times New Roman" w:hAnsi="Times New Roman" w:cs="Times New Roman"/>
          <w:sz w:val="28"/>
          <w:szCs w:val="28"/>
        </w:rPr>
        <w:t xml:space="preserve"> ра</w:t>
      </w:r>
      <w:r w:rsidR="00CE58A8">
        <w:rPr>
          <w:rFonts w:ascii="Times New Roman" w:hAnsi="Times New Roman" w:cs="Times New Roman"/>
          <w:sz w:val="28"/>
          <w:szCs w:val="28"/>
        </w:rPr>
        <w:t>за</w:t>
      </w:r>
      <w:r w:rsidR="00CE58A8" w:rsidRPr="00CE58A8">
        <w:rPr>
          <w:rFonts w:ascii="Times New Roman" w:hAnsi="Times New Roman" w:cs="Times New Roman"/>
          <w:sz w:val="28"/>
          <w:szCs w:val="28"/>
        </w:rPr>
        <w:t xml:space="preserve"> превышает плановые показатели</w:t>
      </w:r>
      <w:r w:rsidR="00CE58A8">
        <w:rPr>
          <w:rFonts w:ascii="Times New Roman" w:hAnsi="Times New Roman" w:cs="Times New Roman"/>
          <w:sz w:val="28"/>
          <w:szCs w:val="28"/>
        </w:rPr>
        <w:t>,</w:t>
      </w:r>
      <w:r w:rsidRPr="00747656">
        <w:rPr>
          <w:rFonts w:ascii="Times New Roman" w:hAnsi="Times New Roman" w:cs="Times New Roman"/>
          <w:sz w:val="28"/>
          <w:szCs w:val="28"/>
        </w:rPr>
        <w:t xml:space="preserve"> в том числе вновь зарегистрированы </w:t>
      </w:r>
      <w:r w:rsidR="005D5CC8">
        <w:rPr>
          <w:rFonts w:ascii="Times New Roman" w:hAnsi="Times New Roman" w:cs="Times New Roman"/>
          <w:sz w:val="28"/>
          <w:szCs w:val="28"/>
        </w:rPr>
        <w:t>5</w:t>
      </w:r>
      <w:r w:rsidRPr="00747656">
        <w:rPr>
          <w:rFonts w:ascii="Times New Roman" w:hAnsi="Times New Roman" w:cs="Times New Roman"/>
          <w:sz w:val="28"/>
          <w:szCs w:val="28"/>
        </w:rPr>
        <w:t xml:space="preserve"> юридических лиц и </w:t>
      </w:r>
      <w:r w:rsidR="005D5CC8">
        <w:rPr>
          <w:rFonts w:ascii="Times New Roman" w:hAnsi="Times New Roman" w:cs="Times New Roman"/>
          <w:sz w:val="28"/>
          <w:szCs w:val="28"/>
        </w:rPr>
        <w:t>68</w:t>
      </w:r>
      <w:r w:rsidRPr="00747656">
        <w:rPr>
          <w:rFonts w:ascii="Times New Roman" w:hAnsi="Times New Roman" w:cs="Times New Roman"/>
          <w:sz w:val="28"/>
          <w:szCs w:val="28"/>
        </w:rPr>
        <w:t xml:space="preserve"> </w:t>
      </w:r>
      <w:r w:rsidRPr="0067559F">
        <w:rPr>
          <w:rFonts w:ascii="Times New Roman" w:hAnsi="Times New Roman" w:cs="Times New Roman"/>
          <w:sz w:val="28"/>
          <w:szCs w:val="28"/>
        </w:rPr>
        <w:t>индивидуальных предпринимателей.</w:t>
      </w:r>
      <w:r w:rsidR="0067559F" w:rsidRPr="0067559F">
        <w:rPr>
          <w:rFonts w:ascii="Times New Roman" w:hAnsi="Times New Roman" w:cs="Times New Roman"/>
          <w:bCs/>
          <w:sz w:val="28"/>
          <w:szCs w:val="28"/>
        </w:rPr>
        <w:t xml:space="preserve"> С начала 2024 года работодателями заявлено 470 вакансий, в том числе 386 – по рабочим профессиям</w:t>
      </w:r>
    </w:p>
    <w:p w14:paraId="4748EA3A" w14:textId="77777777" w:rsidR="00747656" w:rsidRDefault="00747656" w:rsidP="00747656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656">
        <w:rPr>
          <w:rFonts w:ascii="Times New Roman" w:hAnsi="Times New Roman" w:cs="Times New Roman"/>
          <w:sz w:val="28"/>
          <w:szCs w:val="28"/>
        </w:rPr>
        <w:t xml:space="preserve">Средняя заработная плата по крупным и средним организациям за 2023 год возросла по сравнению с соответствующим периодом 2022 года на 11,8 % (52 467,1 рублей)  и составила 58 670,00 рублей. </w:t>
      </w:r>
    </w:p>
    <w:p w14:paraId="10143700" w14:textId="078B8532" w:rsidR="00992106" w:rsidRPr="00992106" w:rsidRDefault="00992106" w:rsidP="00992106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992106">
        <w:rPr>
          <w:rFonts w:ascii="Times New Roman" w:hAnsi="Times New Roman" w:cs="Times New Roman"/>
          <w:sz w:val="28"/>
          <w:szCs w:val="28"/>
        </w:rPr>
        <w:t xml:space="preserve">о основным видам экономической деятельности за январь-сентябрь 2024 года </w:t>
      </w:r>
      <w:r>
        <w:rPr>
          <w:rFonts w:ascii="Times New Roman" w:hAnsi="Times New Roman" w:cs="Times New Roman"/>
          <w:sz w:val="28"/>
          <w:szCs w:val="28"/>
        </w:rPr>
        <w:t xml:space="preserve">средняя заработная плата </w:t>
      </w:r>
      <w:r w:rsidRPr="00992106">
        <w:rPr>
          <w:rFonts w:ascii="Times New Roman" w:hAnsi="Times New Roman" w:cs="Times New Roman"/>
          <w:sz w:val="28"/>
          <w:szCs w:val="28"/>
        </w:rPr>
        <w:t>возросла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2106">
        <w:rPr>
          <w:rFonts w:ascii="Times New Roman" w:hAnsi="Times New Roman" w:cs="Times New Roman"/>
          <w:sz w:val="28"/>
          <w:szCs w:val="28"/>
        </w:rPr>
        <w:t xml:space="preserve">по сравнению с соответствующим периодом 2023 года на 20,6 % и составила 68056 рублей. </w:t>
      </w:r>
    </w:p>
    <w:p w14:paraId="728EABED" w14:textId="77777777" w:rsidR="00992106" w:rsidRPr="00992106" w:rsidRDefault="00992106" w:rsidP="00992106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 w:rsidRPr="00992106">
        <w:rPr>
          <w:rFonts w:ascii="Times New Roman" w:hAnsi="Times New Roman" w:cs="Times New Roman"/>
          <w:sz w:val="28"/>
          <w:szCs w:val="28"/>
        </w:rPr>
        <w:t>Как и в предыдущие годы, Администрация района проводит работу</w:t>
      </w:r>
      <w:r w:rsidRPr="00992106">
        <w:rPr>
          <w:rFonts w:ascii="Times New Roman" w:hAnsi="Times New Roman" w:cs="Times New Roman"/>
          <w:sz w:val="28"/>
          <w:szCs w:val="28"/>
        </w:rPr>
        <w:br/>
        <w:t xml:space="preserve">по выполнению Указов Президента Российской Федерации, предусматривающих повышение заработной платы отдельных категорий работников бюджетной сферы и в связи с повышением минимального </w:t>
      </w:r>
      <w:proofErr w:type="gramStart"/>
      <w:r w:rsidRPr="00992106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992106">
        <w:rPr>
          <w:rFonts w:ascii="Times New Roman" w:hAnsi="Times New Roman" w:cs="Times New Roman"/>
          <w:sz w:val="28"/>
          <w:szCs w:val="28"/>
        </w:rPr>
        <w:t>.</w:t>
      </w:r>
    </w:p>
    <w:p w14:paraId="1DA1C003" w14:textId="65B863CE" w:rsidR="00A01748" w:rsidRPr="006A4574" w:rsidRDefault="00A01748" w:rsidP="006A4574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4574">
        <w:rPr>
          <w:rFonts w:ascii="Times New Roman" w:hAnsi="Times New Roman" w:cs="Times New Roman"/>
          <w:sz w:val="28"/>
          <w:szCs w:val="28"/>
        </w:rPr>
        <w:t xml:space="preserve">Структуру экономики района формируют промышленность, агропромышленный комплекс и потребительский рынок. Промышленность Лахденпохского муниципального района включает в себя: предприятия </w:t>
      </w:r>
      <w:r w:rsidRPr="006A4574">
        <w:rPr>
          <w:rFonts w:ascii="Times New Roman" w:hAnsi="Times New Roman" w:cs="Times New Roman"/>
          <w:sz w:val="28"/>
          <w:szCs w:val="28"/>
        </w:rPr>
        <w:lastRenderedPageBreak/>
        <w:t>обрабатывающих производств (отрасли</w:t>
      </w:r>
      <w:r w:rsidR="00C519C5" w:rsidRPr="006A4574">
        <w:rPr>
          <w:rFonts w:ascii="Times New Roman" w:hAnsi="Times New Roman" w:cs="Times New Roman"/>
          <w:sz w:val="28"/>
          <w:szCs w:val="28"/>
        </w:rPr>
        <w:t xml:space="preserve"> </w:t>
      </w:r>
      <w:r w:rsidRPr="006A4574">
        <w:rPr>
          <w:rFonts w:ascii="Times New Roman" w:hAnsi="Times New Roman" w:cs="Times New Roman"/>
          <w:sz w:val="28"/>
          <w:szCs w:val="28"/>
        </w:rPr>
        <w:t>лесопромышленного комплекса), предприятия по производству и</w:t>
      </w:r>
      <w:r w:rsidR="00C519C5" w:rsidRPr="006A4574">
        <w:rPr>
          <w:rFonts w:ascii="Times New Roman" w:hAnsi="Times New Roman" w:cs="Times New Roman"/>
          <w:sz w:val="28"/>
          <w:szCs w:val="28"/>
        </w:rPr>
        <w:t xml:space="preserve"> </w:t>
      </w:r>
      <w:r w:rsidRPr="006A4574">
        <w:rPr>
          <w:rFonts w:ascii="Times New Roman" w:hAnsi="Times New Roman" w:cs="Times New Roman"/>
          <w:sz w:val="28"/>
          <w:szCs w:val="28"/>
        </w:rPr>
        <w:t>распределению электроэнергии, газа и воды и предприятия по добыче</w:t>
      </w:r>
      <w:r w:rsidR="00C519C5" w:rsidRPr="006A4574">
        <w:rPr>
          <w:rFonts w:ascii="Times New Roman" w:hAnsi="Times New Roman" w:cs="Times New Roman"/>
          <w:sz w:val="28"/>
          <w:szCs w:val="28"/>
        </w:rPr>
        <w:t xml:space="preserve"> </w:t>
      </w:r>
      <w:r w:rsidRPr="006A4574">
        <w:rPr>
          <w:rFonts w:ascii="Times New Roman" w:hAnsi="Times New Roman" w:cs="Times New Roman"/>
          <w:sz w:val="28"/>
          <w:szCs w:val="28"/>
        </w:rPr>
        <w:t>полезных ископаемых.</w:t>
      </w:r>
    </w:p>
    <w:p w14:paraId="0E8179CD" w14:textId="77777777" w:rsidR="00992106" w:rsidRDefault="00747656" w:rsidP="00747656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656">
        <w:rPr>
          <w:rFonts w:ascii="Times New Roman" w:hAnsi="Times New Roman" w:cs="Times New Roman"/>
          <w:sz w:val="28"/>
          <w:szCs w:val="28"/>
        </w:rPr>
        <w:t xml:space="preserve">По данным </w:t>
      </w:r>
      <w:proofErr w:type="spellStart"/>
      <w:r w:rsidRPr="00747656">
        <w:rPr>
          <w:rFonts w:ascii="Times New Roman" w:hAnsi="Times New Roman" w:cs="Times New Roman"/>
          <w:sz w:val="28"/>
          <w:szCs w:val="28"/>
        </w:rPr>
        <w:t>Карелиястата</w:t>
      </w:r>
      <w:proofErr w:type="spellEnd"/>
      <w:r w:rsidRPr="00747656">
        <w:rPr>
          <w:rFonts w:ascii="Times New Roman" w:hAnsi="Times New Roman" w:cs="Times New Roman"/>
          <w:sz w:val="28"/>
          <w:szCs w:val="28"/>
        </w:rPr>
        <w:t xml:space="preserve"> </w:t>
      </w:r>
      <w:r w:rsidRPr="00747656">
        <w:rPr>
          <w:rFonts w:ascii="Times New Roman" w:hAnsi="Times New Roman" w:cs="Times New Roman"/>
          <w:bCs/>
          <w:sz w:val="28"/>
          <w:szCs w:val="28"/>
        </w:rPr>
        <w:t>оборот организаций всех видов деятельности</w:t>
      </w:r>
      <w:r w:rsidRPr="00747656">
        <w:rPr>
          <w:rFonts w:ascii="Times New Roman" w:hAnsi="Times New Roman" w:cs="Times New Roman"/>
          <w:sz w:val="28"/>
          <w:szCs w:val="28"/>
        </w:rPr>
        <w:t xml:space="preserve"> (по крупным и средним организациям) за 2023 год составил 3 869,0 млн. рублей или 136,6 % по сравнению с 2022 годом (2 832,6 млн. рублей). </w:t>
      </w:r>
    </w:p>
    <w:p w14:paraId="2EDE648B" w14:textId="57FF32EE" w:rsidR="00992106" w:rsidRDefault="00992106" w:rsidP="00747656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 январь-ноябрь 2024 года оборот товаров и услуг предприятий всех форм собственности района составил 3,9 млрд. руб., темп роста 118,5 % к аналогичному периоду 2023 года, хотя показатели работы предприятий по сферам деятельности распределились как с положительной, так и с отрицательной динамикой</w:t>
      </w:r>
    </w:p>
    <w:p w14:paraId="562DD094" w14:textId="182A6E83" w:rsidR="00747656" w:rsidRPr="00747656" w:rsidRDefault="00747656" w:rsidP="00747656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656">
        <w:rPr>
          <w:rFonts w:ascii="Times New Roman" w:hAnsi="Times New Roman" w:cs="Times New Roman"/>
          <w:sz w:val="28"/>
          <w:szCs w:val="28"/>
        </w:rPr>
        <w:t>В прогнозируемом периоде рост оборота организаций планируется в объеме с 4 255,9 млн. рублей в 2025 году до  4 559,9 млн. рублей в 2027 году.</w:t>
      </w:r>
    </w:p>
    <w:p w14:paraId="36A7B19B" w14:textId="6A23A884" w:rsidR="00747656" w:rsidRPr="00747656" w:rsidRDefault="00747656" w:rsidP="00747656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656">
        <w:rPr>
          <w:rFonts w:ascii="Times New Roman" w:hAnsi="Times New Roman" w:cs="Times New Roman"/>
          <w:sz w:val="28"/>
          <w:szCs w:val="28"/>
        </w:rPr>
        <w:t xml:space="preserve">Объем отгрузки товаров собственного производства за 2023 год ниже показателя 2022 года на 10,6%, что обусловлено, </w:t>
      </w:r>
      <w:r w:rsidR="00992106">
        <w:rPr>
          <w:rFonts w:ascii="Times New Roman" w:hAnsi="Times New Roman" w:cs="Times New Roman"/>
          <w:sz w:val="28"/>
          <w:szCs w:val="28"/>
        </w:rPr>
        <w:t>прежде всего, неблагоприятной</w:t>
      </w:r>
      <w:r w:rsidRPr="00747656">
        <w:rPr>
          <w:rFonts w:ascii="Times New Roman" w:hAnsi="Times New Roman" w:cs="Times New Roman"/>
          <w:sz w:val="28"/>
          <w:szCs w:val="28"/>
        </w:rPr>
        <w:t xml:space="preserve"> внешнеэкономической конъюнктурой в условиях ужесточения </w:t>
      </w:r>
      <w:proofErr w:type="spellStart"/>
      <w:r w:rsidRPr="00747656">
        <w:rPr>
          <w:rFonts w:ascii="Times New Roman" w:hAnsi="Times New Roman" w:cs="Times New Roman"/>
          <w:sz w:val="28"/>
          <w:szCs w:val="28"/>
        </w:rPr>
        <w:t>санкционных</w:t>
      </w:r>
      <w:proofErr w:type="spellEnd"/>
      <w:r w:rsidRPr="00747656">
        <w:rPr>
          <w:rFonts w:ascii="Times New Roman" w:hAnsi="Times New Roman" w:cs="Times New Roman"/>
          <w:sz w:val="28"/>
          <w:szCs w:val="28"/>
        </w:rPr>
        <w:t xml:space="preserve"> ограничений, медленной перестройкой производственно-логистических цепочек, низким спросом на продукцию карельских предприятий, снижением  потребительского спроса.</w:t>
      </w:r>
    </w:p>
    <w:p w14:paraId="11F6C592" w14:textId="4026FE41" w:rsidR="006B47F9" w:rsidRPr="006B47F9" w:rsidRDefault="006B47F9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7F9">
        <w:rPr>
          <w:rFonts w:ascii="Times New Roman" w:hAnsi="Times New Roman" w:cs="Times New Roman"/>
          <w:sz w:val="28"/>
          <w:szCs w:val="28"/>
        </w:rPr>
        <w:t>В прогнозируемом периоде (2025-2027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7F9">
        <w:rPr>
          <w:rFonts w:ascii="Times New Roman" w:hAnsi="Times New Roman" w:cs="Times New Roman"/>
          <w:sz w:val="28"/>
          <w:szCs w:val="28"/>
        </w:rPr>
        <w:t>годы) увеличения индек</w:t>
      </w:r>
      <w:r>
        <w:rPr>
          <w:rFonts w:ascii="Times New Roman" w:hAnsi="Times New Roman" w:cs="Times New Roman"/>
          <w:sz w:val="28"/>
          <w:szCs w:val="28"/>
        </w:rPr>
        <w:t>са производства не планируется.</w:t>
      </w:r>
    </w:p>
    <w:p w14:paraId="1D0AC22E" w14:textId="77777777" w:rsidR="006B47F9" w:rsidRPr="006B47F9" w:rsidRDefault="006B47F9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47F9">
        <w:rPr>
          <w:rFonts w:ascii="Times New Roman" w:hAnsi="Times New Roman" w:cs="Times New Roman"/>
          <w:sz w:val="28"/>
          <w:szCs w:val="28"/>
        </w:rPr>
        <w:t>Добычу строительного камня осуществляют: для производства блоков 1 предприятие (ЗАО «</w:t>
      </w:r>
      <w:proofErr w:type="spellStart"/>
      <w:r w:rsidRPr="006B47F9">
        <w:rPr>
          <w:rFonts w:ascii="Times New Roman" w:hAnsi="Times New Roman" w:cs="Times New Roman"/>
          <w:sz w:val="28"/>
          <w:szCs w:val="28"/>
        </w:rPr>
        <w:t>Терваярви</w:t>
      </w:r>
      <w:proofErr w:type="spellEnd"/>
      <w:r w:rsidRPr="006B47F9">
        <w:rPr>
          <w:rFonts w:ascii="Times New Roman" w:hAnsi="Times New Roman" w:cs="Times New Roman"/>
          <w:sz w:val="28"/>
          <w:szCs w:val="28"/>
        </w:rPr>
        <w:t>»), для производства щебня 5 предприятий (ООО «</w:t>
      </w:r>
      <w:proofErr w:type="spellStart"/>
      <w:r w:rsidRPr="006B47F9">
        <w:rPr>
          <w:rFonts w:ascii="Times New Roman" w:hAnsi="Times New Roman" w:cs="Times New Roman"/>
          <w:sz w:val="28"/>
          <w:szCs w:val="28"/>
        </w:rPr>
        <w:t>Яккима</w:t>
      </w:r>
      <w:proofErr w:type="spellEnd"/>
      <w:r w:rsidRPr="006B47F9">
        <w:rPr>
          <w:rFonts w:ascii="Times New Roman" w:hAnsi="Times New Roman" w:cs="Times New Roman"/>
          <w:sz w:val="28"/>
          <w:szCs w:val="28"/>
        </w:rPr>
        <w:t xml:space="preserve"> Гранит», ООО «</w:t>
      </w:r>
      <w:proofErr w:type="spellStart"/>
      <w:r w:rsidRPr="006B47F9">
        <w:rPr>
          <w:rFonts w:ascii="Times New Roman" w:hAnsi="Times New Roman" w:cs="Times New Roman"/>
          <w:sz w:val="28"/>
          <w:szCs w:val="28"/>
        </w:rPr>
        <w:t>АлхоСтрой</w:t>
      </w:r>
      <w:proofErr w:type="spellEnd"/>
      <w:r w:rsidRPr="006B47F9">
        <w:rPr>
          <w:rFonts w:ascii="Times New Roman" w:hAnsi="Times New Roman" w:cs="Times New Roman"/>
          <w:sz w:val="28"/>
          <w:szCs w:val="28"/>
        </w:rPr>
        <w:t>», ООО «Рубикон», ООО «Карельский комбинат нерудных ископаемых», ЗАО «</w:t>
      </w:r>
      <w:proofErr w:type="spellStart"/>
      <w:r w:rsidRPr="006B47F9">
        <w:rPr>
          <w:rFonts w:ascii="Times New Roman" w:hAnsi="Times New Roman" w:cs="Times New Roman"/>
          <w:sz w:val="28"/>
          <w:szCs w:val="28"/>
        </w:rPr>
        <w:t>Экопром</w:t>
      </w:r>
      <w:proofErr w:type="spellEnd"/>
      <w:r w:rsidRPr="006B47F9">
        <w:rPr>
          <w:rFonts w:ascii="Times New Roman" w:hAnsi="Times New Roman" w:cs="Times New Roman"/>
          <w:sz w:val="28"/>
          <w:szCs w:val="28"/>
        </w:rPr>
        <w:t>-Транзит»).</w:t>
      </w:r>
      <w:proofErr w:type="gramEnd"/>
    </w:p>
    <w:p w14:paraId="40C817E2" w14:textId="77777777" w:rsidR="006B47F9" w:rsidRDefault="006B47F9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7F9">
        <w:rPr>
          <w:rFonts w:ascii="Times New Roman" w:hAnsi="Times New Roman" w:cs="Times New Roman"/>
          <w:sz w:val="28"/>
          <w:szCs w:val="28"/>
        </w:rPr>
        <w:t>Оборот предприятий по добыче полезных ископаемых за 2023 год возрос в 1,8 раза по сравнению в 2022 годом.</w:t>
      </w:r>
    </w:p>
    <w:p w14:paraId="5BEC6A51" w14:textId="77777777" w:rsidR="006B47F9" w:rsidRPr="006B47F9" w:rsidRDefault="006B47F9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7F9">
        <w:rPr>
          <w:rFonts w:ascii="Times New Roman" w:hAnsi="Times New Roman" w:cs="Times New Roman"/>
          <w:sz w:val="28"/>
          <w:szCs w:val="28"/>
        </w:rPr>
        <w:t xml:space="preserve">В обрабатывающих производствах района с 2022 года наблюдается спад в связи с санкциями, введенными недружественными государствами в отношении Российской Федерации. </w:t>
      </w:r>
    </w:p>
    <w:p w14:paraId="3D7850B5" w14:textId="77777777" w:rsidR="006B47F9" w:rsidRPr="006B47F9" w:rsidRDefault="006B47F9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7F9">
        <w:rPr>
          <w:rFonts w:ascii="Times New Roman" w:hAnsi="Times New Roman" w:cs="Times New Roman"/>
          <w:sz w:val="28"/>
          <w:szCs w:val="28"/>
        </w:rPr>
        <w:t xml:space="preserve">Отрасль лесопромышленного комплекса представлена основными арендаторами участков лесного фонда: ЗАО «Норд </w:t>
      </w:r>
      <w:proofErr w:type="spellStart"/>
      <w:r w:rsidRPr="006B47F9">
        <w:rPr>
          <w:rFonts w:ascii="Times New Roman" w:hAnsi="Times New Roman" w:cs="Times New Roman"/>
          <w:sz w:val="28"/>
          <w:szCs w:val="28"/>
        </w:rPr>
        <w:t>Интер</w:t>
      </w:r>
      <w:proofErr w:type="spellEnd"/>
      <w:r w:rsidRPr="006B47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47F9">
        <w:rPr>
          <w:rFonts w:ascii="Times New Roman" w:hAnsi="Times New Roman" w:cs="Times New Roman"/>
          <w:sz w:val="28"/>
          <w:szCs w:val="28"/>
        </w:rPr>
        <w:t>Хауз</w:t>
      </w:r>
      <w:proofErr w:type="spellEnd"/>
      <w:r w:rsidRPr="006B47F9">
        <w:rPr>
          <w:rFonts w:ascii="Times New Roman" w:hAnsi="Times New Roman" w:cs="Times New Roman"/>
          <w:sz w:val="28"/>
          <w:szCs w:val="28"/>
        </w:rPr>
        <w:t>», ОАО «Лахденпохский ЛПХ», ООО «</w:t>
      </w:r>
      <w:proofErr w:type="spellStart"/>
      <w:r w:rsidRPr="006B47F9">
        <w:rPr>
          <w:rFonts w:ascii="Times New Roman" w:hAnsi="Times New Roman" w:cs="Times New Roman"/>
          <w:sz w:val="28"/>
          <w:szCs w:val="28"/>
        </w:rPr>
        <w:t>Микли</w:t>
      </w:r>
      <w:proofErr w:type="spellEnd"/>
      <w:r w:rsidRPr="006B47F9">
        <w:rPr>
          <w:rFonts w:ascii="Times New Roman" w:hAnsi="Times New Roman" w:cs="Times New Roman"/>
          <w:sz w:val="28"/>
          <w:szCs w:val="28"/>
        </w:rPr>
        <w:t xml:space="preserve">», ООО «Геликон </w:t>
      </w:r>
      <w:proofErr w:type="spellStart"/>
      <w:r w:rsidRPr="006B47F9">
        <w:rPr>
          <w:rFonts w:ascii="Times New Roman" w:hAnsi="Times New Roman" w:cs="Times New Roman"/>
          <w:sz w:val="28"/>
          <w:szCs w:val="28"/>
        </w:rPr>
        <w:t>Онего</w:t>
      </w:r>
      <w:proofErr w:type="spellEnd"/>
      <w:r w:rsidRPr="006B47F9"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 w:rsidRPr="006B47F9">
        <w:rPr>
          <w:rFonts w:ascii="Times New Roman" w:hAnsi="Times New Roman" w:cs="Times New Roman"/>
          <w:sz w:val="28"/>
          <w:szCs w:val="28"/>
        </w:rPr>
        <w:t>Тимберланд</w:t>
      </w:r>
      <w:proofErr w:type="spellEnd"/>
      <w:r w:rsidRPr="006B47F9">
        <w:rPr>
          <w:rFonts w:ascii="Times New Roman" w:hAnsi="Times New Roman" w:cs="Times New Roman"/>
          <w:sz w:val="28"/>
          <w:szCs w:val="28"/>
        </w:rPr>
        <w:t xml:space="preserve">», ООО «Сортавальское ЛПХ».  </w:t>
      </w:r>
    </w:p>
    <w:p w14:paraId="4BBCFB82" w14:textId="116AD01F" w:rsidR="006B47F9" w:rsidRDefault="006B47F9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7F9">
        <w:rPr>
          <w:rFonts w:ascii="Times New Roman" w:hAnsi="Times New Roman" w:cs="Times New Roman"/>
          <w:sz w:val="28"/>
          <w:szCs w:val="28"/>
        </w:rPr>
        <w:t xml:space="preserve">Арендаторами лесных участков в 2023 году заготовлено 260,9 тыс. </w:t>
      </w:r>
      <w:proofErr w:type="spellStart"/>
      <w:r w:rsidRPr="006B47F9"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 w:rsidRPr="006B47F9">
        <w:rPr>
          <w:rFonts w:ascii="Times New Roman" w:hAnsi="Times New Roman" w:cs="Times New Roman"/>
          <w:sz w:val="28"/>
          <w:szCs w:val="28"/>
        </w:rPr>
        <w:t xml:space="preserve">. древесины или 66,6% от фактического показателя 2022 года. </w:t>
      </w:r>
    </w:p>
    <w:p w14:paraId="7504CFEE" w14:textId="48DAF595" w:rsidR="00992106" w:rsidRPr="006B47F9" w:rsidRDefault="00992106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заготовки древесины по состоянию на 01.01.2025 составил 237,8 тыс. куб. м. (52,0% от установленного отпуска и 85,1% от расчетной лесосеки). Арендаторами лесных участков заготовлено 231,0 тыс. куб. м. древесины (82,7% от установленного отпуска и 51,0% от расчетной лесосеки)</w:t>
      </w:r>
    </w:p>
    <w:p w14:paraId="2C097635" w14:textId="4074614E" w:rsidR="006B47F9" w:rsidRPr="006B47F9" w:rsidRDefault="006B47F9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7F9">
        <w:rPr>
          <w:rFonts w:ascii="Times New Roman" w:hAnsi="Times New Roman" w:cs="Times New Roman"/>
          <w:sz w:val="28"/>
          <w:szCs w:val="28"/>
        </w:rPr>
        <w:t>Оборот организаций, основной вид деятельности которых «Лесоводство и лесозаготовки», в 2023 году снизился на 28,0% по сравнению с 2022 годом (в фактически действующих ценах соответствующих лет), в том числе по виду  деятельности «Лесозаготовки» – на 28,0%.</w:t>
      </w:r>
    </w:p>
    <w:p w14:paraId="020889C7" w14:textId="1EF92C45" w:rsidR="006B47F9" w:rsidRPr="006B47F9" w:rsidRDefault="006B47F9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7F9">
        <w:rPr>
          <w:rFonts w:ascii="Times New Roman" w:hAnsi="Times New Roman" w:cs="Times New Roman"/>
          <w:sz w:val="28"/>
          <w:szCs w:val="28"/>
        </w:rPr>
        <w:lastRenderedPageBreak/>
        <w:t xml:space="preserve">Глубокую переработку древесины на территории района осуществляет ООО «Карельская фанера». </w:t>
      </w:r>
      <w:r w:rsidR="00992106" w:rsidRPr="00992106">
        <w:rPr>
          <w:rFonts w:ascii="Times New Roman" w:eastAsia="Calibri" w:hAnsi="Times New Roman" w:cs="Times New Roman"/>
          <w:sz w:val="28"/>
          <w:szCs w:val="28"/>
        </w:rPr>
        <w:t>Объём производства шпона лущёного в ООО «Карельская фанера»</w:t>
      </w:r>
      <w:r w:rsidR="009921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2106" w:rsidRPr="00992106">
        <w:rPr>
          <w:rFonts w:ascii="Times New Roman" w:eastAsia="Calibri" w:hAnsi="Times New Roman" w:cs="Times New Roman"/>
          <w:sz w:val="28"/>
          <w:szCs w:val="28"/>
        </w:rPr>
        <w:t>за 2024 год составил 15,3 куб. м, или 0,6 % к уровню 2023 года</w:t>
      </w:r>
      <w:r w:rsidR="009921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92106" w:rsidRPr="00992106">
        <w:rPr>
          <w:rFonts w:ascii="Times New Roman" w:eastAsia="Calibri" w:hAnsi="Times New Roman" w:cs="Times New Roman"/>
          <w:sz w:val="28"/>
          <w:szCs w:val="28"/>
        </w:rPr>
        <w:t>(2,4 тыс. куб. м).</w:t>
      </w:r>
      <w:r w:rsidRPr="006B47F9">
        <w:rPr>
          <w:rFonts w:ascii="Times New Roman" w:hAnsi="Times New Roman" w:cs="Times New Roman"/>
          <w:sz w:val="28"/>
          <w:szCs w:val="28"/>
        </w:rPr>
        <w:t xml:space="preserve"> В настоящий момент предприятие частично простаивает.</w:t>
      </w:r>
    </w:p>
    <w:p w14:paraId="3D3071A8" w14:textId="77777777" w:rsidR="006B47F9" w:rsidRPr="006B47F9" w:rsidRDefault="006B47F9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7F9">
        <w:rPr>
          <w:rFonts w:ascii="Times New Roman" w:hAnsi="Times New Roman" w:cs="Times New Roman"/>
          <w:bCs/>
          <w:sz w:val="28"/>
          <w:szCs w:val="28"/>
        </w:rPr>
        <w:t xml:space="preserve">Сельское хозяйство </w:t>
      </w:r>
      <w:r w:rsidRPr="006B47F9">
        <w:rPr>
          <w:rFonts w:ascii="Times New Roman" w:hAnsi="Times New Roman" w:cs="Times New Roman"/>
          <w:sz w:val="28"/>
          <w:szCs w:val="28"/>
        </w:rPr>
        <w:t xml:space="preserve">является важной отраслью экономики района, оно  так же влияет на её состояние и темпы развития. </w:t>
      </w:r>
    </w:p>
    <w:p w14:paraId="0685020B" w14:textId="794FD54F" w:rsidR="006B47F9" w:rsidRDefault="006B47F9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7F9">
        <w:rPr>
          <w:rFonts w:ascii="Times New Roman" w:hAnsi="Times New Roman" w:cs="Times New Roman"/>
          <w:sz w:val="28"/>
          <w:szCs w:val="28"/>
        </w:rPr>
        <w:t>Сельскохозяйственную деятельность на территории района осуществляют 1</w:t>
      </w:r>
      <w:r w:rsidR="00992106">
        <w:rPr>
          <w:rFonts w:ascii="Times New Roman" w:hAnsi="Times New Roman" w:cs="Times New Roman"/>
          <w:sz w:val="28"/>
          <w:szCs w:val="28"/>
        </w:rPr>
        <w:t>9</w:t>
      </w:r>
      <w:r w:rsidRPr="006B47F9">
        <w:rPr>
          <w:rFonts w:ascii="Times New Roman" w:hAnsi="Times New Roman" w:cs="Times New Roman"/>
          <w:sz w:val="28"/>
          <w:szCs w:val="28"/>
        </w:rPr>
        <w:t xml:space="preserve"> крестьянских фермерских хозяйств, 2 сельскохозяйственных предприятия. Кроме того, сельскохозяйственную продукцию производят личные подсобные хозяйства, численность которых составляет более 2 тысяч.</w:t>
      </w:r>
    </w:p>
    <w:p w14:paraId="5CE757FC" w14:textId="06B739B4" w:rsidR="006B47F9" w:rsidRPr="006B47F9" w:rsidRDefault="006B47F9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7F9">
        <w:rPr>
          <w:rFonts w:ascii="Times New Roman" w:hAnsi="Times New Roman" w:cs="Times New Roman"/>
          <w:sz w:val="28"/>
          <w:szCs w:val="28"/>
        </w:rPr>
        <w:t>Производство основных видов продукции животно</w:t>
      </w:r>
      <w:r>
        <w:rPr>
          <w:rFonts w:ascii="Times New Roman" w:hAnsi="Times New Roman" w:cs="Times New Roman"/>
          <w:sz w:val="28"/>
          <w:szCs w:val="28"/>
        </w:rPr>
        <w:t xml:space="preserve">водства за 2023 год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сравнению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6B47F9">
        <w:rPr>
          <w:rFonts w:ascii="Times New Roman" w:hAnsi="Times New Roman" w:cs="Times New Roman"/>
          <w:sz w:val="28"/>
          <w:szCs w:val="28"/>
        </w:rPr>
        <w:t xml:space="preserve"> 2022 годом: скот и птица на убой – снижение на 6,8%, производство молока – рост на 0,1%, яйца – снижение на 10,8%.  </w:t>
      </w:r>
    </w:p>
    <w:p w14:paraId="27D006F0" w14:textId="77777777" w:rsidR="006B47F9" w:rsidRPr="006B47F9" w:rsidRDefault="006B47F9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7F9">
        <w:rPr>
          <w:rFonts w:ascii="Times New Roman" w:hAnsi="Times New Roman" w:cs="Times New Roman"/>
          <w:sz w:val="28"/>
          <w:szCs w:val="28"/>
        </w:rPr>
        <w:t>Развитие сельского хозяйства на перспективу планируется за счёт расширения производства в малых формах хозяйствования.</w:t>
      </w:r>
    </w:p>
    <w:p w14:paraId="72A6EAB8" w14:textId="77777777" w:rsidR="006B47F9" w:rsidRPr="006B47F9" w:rsidRDefault="006B47F9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7F9">
        <w:rPr>
          <w:rFonts w:ascii="Times New Roman" w:hAnsi="Times New Roman" w:cs="Times New Roman"/>
          <w:bCs/>
          <w:sz w:val="28"/>
          <w:szCs w:val="28"/>
        </w:rPr>
        <w:t>Еще одна составляющая агропромышленного комплекса на территории Лахденпохского района это рыбоводство.</w:t>
      </w:r>
      <w:r w:rsidRPr="006B47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878444" w14:textId="25C5423C" w:rsidR="006B47F9" w:rsidRDefault="006B47F9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7F9">
        <w:rPr>
          <w:rFonts w:ascii="Times New Roman" w:hAnsi="Times New Roman" w:cs="Times New Roman"/>
          <w:sz w:val="28"/>
          <w:szCs w:val="28"/>
        </w:rPr>
        <w:t>В 2023</w:t>
      </w:r>
      <w:r w:rsidR="00992106">
        <w:rPr>
          <w:rFonts w:ascii="Times New Roman" w:hAnsi="Times New Roman" w:cs="Times New Roman"/>
          <w:sz w:val="28"/>
          <w:szCs w:val="28"/>
        </w:rPr>
        <w:t>- 2024</w:t>
      </w:r>
      <w:r w:rsidRPr="006B47F9">
        <w:rPr>
          <w:rFonts w:ascii="Times New Roman" w:hAnsi="Times New Roman" w:cs="Times New Roman"/>
          <w:sz w:val="28"/>
          <w:szCs w:val="28"/>
        </w:rPr>
        <w:t xml:space="preserve"> год</w:t>
      </w:r>
      <w:r w:rsidR="00992106">
        <w:rPr>
          <w:rFonts w:ascii="Times New Roman" w:hAnsi="Times New Roman" w:cs="Times New Roman"/>
          <w:sz w:val="28"/>
          <w:szCs w:val="28"/>
        </w:rPr>
        <w:t>ах</w:t>
      </w:r>
      <w:r w:rsidRPr="006B47F9">
        <w:rPr>
          <w:rFonts w:ascii="Times New Roman" w:hAnsi="Times New Roman" w:cs="Times New Roman"/>
          <w:sz w:val="28"/>
          <w:szCs w:val="28"/>
        </w:rPr>
        <w:t xml:space="preserve"> деятельность по выращиванию рыбы на территории осуществляли 9 рыбоводных </w:t>
      </w:r>
      <w:proofErr w:type="spellStart"/>
      <w:r w:rsidRPr="006B47F9">
        <w:rPr>
          <w:rFonts w:ascii="Times New Roman" w:hAnsi="Times New Roman" w:cs="Times New Roman"/>
          <w:sz w:val="28"/>
          <w:szCs w:val="28"/>
        </w:rPr>
        <w:t>хозяйств</w:t>
      </w:r>
      <w:proofErr w:type="gramStart"/>
      <w:r w:rsidR="00992106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="00992106">
        <w:rPr>
          <w:rFonts w:ascii="Times New Roman" w:hAnsi="Times New Roman" w:cs="Times New Roman"/>
          <w:sz w:val="28"/>
          <w:szCs w:val="28"/>
        </w:rPr>
        <w:t>рупнейшие</w:t>
      </w:r>
      <w:proofErr w:type="spellEnd"/>
      <w:r w:rsidR="00992106">
        <w:rPr>
          <w:rFonts w:ascii="Times New Roman" w:hAnsi="Times New Roman" w:cs="Times New Roman"/>
          <w:sz w:val="28"/>
          <w:szCs w:val="28"/>
        </w:rPr>
        <w:t xml:space="preserve"> из которых:</w:t>
      </w:r>
      <w:r w:rsidRPr="006B47F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47F9">
        <w:rPr>
          <w:rFonts w:ascii="Times New Roman" w:hAnsi="Times New Roman" w:cs="Times New Roman"/>
          <w:sz w:val="28"/>
          <w:szCs w:val="28"/>
        </w:rPr>
        <w:t>АО «КАЛА-РАНТА», ЗАО «ВИРТА», ООО «ФИШФОРЕЛЬ», ООО «К</w:t>
      </w:r>
      <w:r w:rsidR="00992106">
        <w:rPr>
          <w:rFonts w:ascii="Times New Roman" w:hAnsi="Times New Roman" w:cs="Times New Roman"/>
          <w:sz w:val="28"/>
          <w:szCs w:val="28"/>
        </w:rPr>
        <w:t>арельская форель», ООО «</w:t>
      </w:r>
      <w:proofErr w:type="spellStart"/>
      <w:r w:rsidR="00992106">
        <w:rPr>
          <w:rFonts w:ascii="Times New Roman" w:hAnsi="Times New Roman" w:cs="Times New Roman"/>
          <w:sz w:val="28"/>
          <w:szCs w:val="28"/>
        </w:rPr>
        <w:t>Алдога</w:t>
      </w:r>
      <w:proofErr w:type="spellEnd"/>
      <w:r w:rsidR="00992106">
        <w:rPr>
          <w:rFonts w:ascii="Times New Roman" w:hAnsi="Times New Roman" w:cs="Times New Roman"/>
          <w:sz w:val="28"/>
          <w:szCs w:val="28"/>
        </w:rPr>
        <w:t>»</w:t>
      </w:r>
      <w:r w:rsidRPr="006B47F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14:paraId="2FFFCA57" w14:textId="77777777" w:rsidR="00992106" w:rsidRDefault="00992106" w:rsidP="009921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2024 год выращено рыбы (форели) рыбоводными хозяйствами 6, 76 тыс. тонн (93,4% к показателю 2023 года).</w:t>
      </w:r>
    </w:p>
    <w:p w14:paraId="03023710" w14:textId="77777777" w:rsidR="00992106" w:rsidRDefault="00992106" w:rsidP="009921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Инвестиции в основной капитал </w:t>
      </w:r>
      <w:r>
        <w:rPr>
          <w:rFonts w:ascii="Times New Roman" w:hAnsi="Times New Roman" w:cs="Times New Roman"/>
          <w:sz w:val="28"/>
          <w:szCs w:val="28"/>
        </w:rPr>
        <w:t>АО «КАЛА-РАНТА»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составили 297,6 млн. рублей. Среднесписочная численность работников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145 человек.</w:t>
      </w:r>
    </w:p>
    <w:p w14:paraId="070710EC" w14:textId="77777777" w:rsidR="00992106" w:rsidRDefault="00992106" w:rsidP="0099210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Инвестиции </w:t>
      </w:r>
      <w:r>
        <w:rPr>
          <w:rFonts w:ascii="Times New Roman" w:hAnsi="Times New Roman" w:cs="Times New Roman"/>
          <w:sz w:val="28"/>
          <w:szCs w:val="28"/>
        </w:rPr>
        <w:t xml:space="preserve">ЗАО «ВИРТА»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основной капитал составили 58,3 млн. руб. Среднесписочная численность работников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 человека.</w:t>
      </w:r>
    </w:p>
    <w:p w14:paraId="3520D261" w14:textId="5AE854B9" w:rsidR="00992106" w:rsidRDefault="00992106" w:rsidP="00992106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>
        <w:rPr>
          <w:rFonts w:ascii="Times New Roman" w:hAnsi="Times New Roman" w:cs="Times New Roman"/>
          <w:sz w:val="28"/>
          <w:szCs w:val="28"/>
        </w:rPr>
        <w:t>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«Карельская форель»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основной капитал составили 124,9 млн. руб. Среднесписочная численность работников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123 человека. ООО «Карельская форель» введен в эксплуатацию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инкубационно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выростной цех по выращиванию посадочного материала форели (1 млн. штук молоди навеской 10-15 грамм).</w:t>
      </w:r>
    </w:p>
    <w:p w14:paraId="220CAF0B" w14:textId="77777777" w:rsidR="006B47F9" w:rsidRPr="006B47F9" w:rsidRDefault="006B47F9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7F9">
        <w:rPr>
          <w:rFonts w:ascii="Times New Roman" w:hAnsi="Times New Roman" w:cs="Times New Roman"/>
          <w:sz w:val="28"/>
          <w:szCs w:val="28"/>
        </w:rPr>
        <w:t xml:space="preserve">Предприятия </w:t>
      </w:r>
      <w:proofErr w:type="spellStart"/>
      <w:r w:rsidRPr="006B47F9">
        <w:rPr>
          <w:rFonts w:ascii="Times New Roman" w:hAnsi="Times New Roman" w:cs="Times New Roman"/>
          <w:sz w:val="28"/>
          <w:szCs w:val="28"/>
        </w:rPr>
        <w:t>аквакультуры</w:t>
      </w:r>
      <w:proofErr w:type="spellEnd"/>
      <w:r w:rsidRPr="006B47F9">
        <w:rPr>
          <w:rFonts w:ascii="Times New Roman" w:hAnsi="Times New Roman" w:cs="Times New Roman"/>
          <w:sz w:val="28"/>
          <w:szCs w:val="28"/>
        </w:rPr>
        <w:t xml:space="preserve"> способствуют увеличению занятости населения и обеспечивают рост налоговых отчислений в бюджеты всех уровней.</w:t>
      </w:r>
    </w:p>
    <w:p w14:paraId="5BA40D70" w14:textId="77777777" w:rsidR="006B47F9" w:rsidRPr="006B47F9" w:rsidRDefault="006B47F9" w:rsidP="006B47F9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7F9">
        <w:rPr>
          <w:rFonts w:ascii="Times New Roman" w:hAnsi="Times New Roman" w:cs="Times New Roman"/>
          <w:sz w:val="28"/>
          <w:szCs w:val="28"/>
        </w:rPr>
        <w:t xml:space="preserve">Перспективы развития </w:t>
      </w:r>
      <w:proofErr w:type="spellStart"/>
      <w:r w:rsidRPr="006B47F9">
        <w:rPr>
          <w:rFonts w:ascii="Times New Roman" w:hAnsi="Times New Roman" w:cs="Times New Roman"/>
          <w:sz w:val="28"/>
          <w:szCs w:val="28"/>
        </w:rPr>
        <w:t>рыбохозяйственного</w:t>
      </w:r>
      <w:proofErr w:type="spellEnd"/>
      <w:r w:rsidRPr="006B47F9">
        <w:rPr>
          <w:rFonts w:ascii="Times New Roman" w:hAnsi="Times New Roman" w:cs="Times New Roman"/>
          <w:sz w:val="28"/>
          <w:szCs w:val="28"/>
        </w:rPr>
        <w:t xml:space="preserve"> комплекса и роста объемов товарного рыбоводства в ближайшей перспективе связаны с увеличением количества предприятий пресноводного рыбоводства и реализацией инвестиционных проектов.</w:t>
      </w:r>
    </w:p>
    <w:p w14:paraId="4F5E737F" w14:textId="77777777" w:rsidR="00992106" w:rsidRDefault="00992106" w:rsidP="00992106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виду деятельности </w:t>
      </w:r>
      <w:r w:rsidRPr="00992106">
        <w:rPr>
          <w:rFonts w:ascii="Times New Roman" w:hAnsi="Times New Roman" w:cs="Times New Roman"/>
          <w:sz w:val="28"/>
          <w:szCs w:val="28"/>
        </w:rPr>
        <w:t>«Строительство» за 2024 год</w:t>
      </w:r>
      <w:r>
        <w:rPr>
          <w:rFonts w:ascii="Times New Roman" w:hAnsi="Times New Roman" w:cs="Times New Roman"/>
          <w:sz w:val="28"/>
          <w:szCs w:val="28"/>
        </w:rPr>
        <w:t xml:space="preserve"> по сравнению</w:t>
      </w:r>
      <w:r>
        <w:rPr>
          <w:rFonts w:ascii="Times New Roman" w:hAnsi="Times New Roman" w:cs="Times New Roman"/>
          <w:sz w:val="28"/>
          <w:szCs w:val="28"/>
        </w:rPr>
        <w:br/>
        <w:t xml:space="preserve">с 2023 годом ввод в эксплуатацию общей площади жилья увеличился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24,8 % и составил 19 287 кв. м жилой площади (в том числе индивидуальное жилищное строительство).  </w:t>
      </w:r>
    </w:p>
    <w:p w14:paraId="5C4DE7AB" w14:textId="77777777" w:rsidR="00CE58A8" w:rsidRDefault="00CE58A8" w:rsidP="00CE58A8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данным Единого реестра субъектов малого и среднего предпринимательства (далее – субъекты МСП), по состоянию на 1 января 2025 года на территории Лахденпохского района осуществляют предпринимательскую деятельность 525 субъекта малого и среднего предпринимательства (2023 г. – 495), в том числе 363 индивидуальных предпринимателя (далее – ИП) (2023 г. – 325).</w:t>
      </w:r>
    </w:p>
    <w:p w14:paraId="5C3E1013" w14:textId="2C3E49A8" w:rsidR="006B47F9" w:rsidRPr="006B47F9" w:rsidRDefault="00CE58A8" w:rsidP="00CE58A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в районе зарегистрировано 849 самозанятых граждан (плательщиков налога на профессиональный доход), в том числе ИП - 62 (2023 г. – 626, в том числе – ИП – 42).</w:t>
      </w:r>
    </w:p>
    <w:p w14:paraId="58EECE5D" w14:textId="77777777" w:rsidR="00CE58A8" w:rsidRDefault="00CE58A8" w:rsidP="00CE58A8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8A8">
        <w:rPr>
          <w:rFonts w:ascii="Times New Roman" w:hAnsi="Times New Roman" w:cs="Times New Roman"/>
          <w:sz w:val="28"/>
          <w:szCs w:val="28"/>
        </w:rPr>
        <w:t>Привлечение инвестиций – один из ключевых</w:t>
      </w:r>
      <w:r>
        <w:rPr>
          <w:rFonts w:ascii="Times New Roman" w:hAnsi="Times New Roman" w:cs="Times New Roman"/>
          <w:sz w:val="28"/>
          <w:szCs w:val="28"/>
        </w:rPr>
        <w:t xml:space="preserve"> факторов, влияющих на дальнейшее развитие любой территории. Рост инвестиций приводит</w:t>
      </w:r>
      <w:r>
        <w:rPr>
          <w:rFonts w:ascii="Times New Roman" w:hAnsi="Times New Roman" w:cs="Times New Roman"/>
          <w:sz w:val="28"/>
          <w:szCs w:val="28"/>
        </w:rPr>
        <w:br/>
        <w:t xml:space="preserve">к росту налоговых поступлений в бюджет, созданию новых рабочих мест, увеличению доходов населения, развитию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5C6F9CC7" w14:textId="552ADE5F" w:rsidR="00CE58A8" w:rsidRDefault="00CE58A8" w:rsidP="00CE58A8">
      <w:pPr>
        <w:pStyle w:val="ad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развитие экономики и социальной сферы Лахденпохского муниципального района в январе-сентябре 2024</w:t>
      </w:r>
      <w:r w:rsidR="00F441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использовано 269,5 млн. рублей инвестиций в основной капитал. </w:t>
      </w:r>
    </w:p>
    <w:p w14:paraId="53FB9805" w14:textId="1FEBE406" w:rsidR="006B47F9" w:rsidRDefault="00CE58A8" w:rsidP="00CE58A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района в 2024 г. реализуются 8 инвестиционных проектов в сфере туризма, которые находятся на сопровождении в Корпорации развития Республики Карелия</w:t>
      </w:r>
      <w:r w:rsidR="00F4414E">
        <w:rPr>
          <w:rFonts w:ascii="Times New Roman" w:hAnsi="Times New Roman" w:cs="Times New Roman"/>
          <w:sz w:val="28"/>
          <w:szCs w:val="28"/>
        </w:rPr>
        <w:t>.</w:t>
      </w:r>
    </w:p>
    <w:p w14:paraId="0EDAAA3C" w14:textId="09F88AE5" w:rsidR="00C60D23" w:rsidRDefault="00C60D23" w:rsidP="006A457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C066DB" w14:textId="77777777" w:rsidR="00C60D23" w:rsidRDefault="00C60D23" w:rsidP="006A4574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6D638F" w14:textId="77777777" w:rsidR="00C60D23" w:rsidRDefault="00C60D23" w:rsidP="006A4574">
      <w:pPr>
        <w:widowControl w:val="0"/>
        <w:autoSpaceDE w:val="0"/>
        <w:autoSpaceDN w:val="0"/>
        <w:adjustRightInd w:val="0"/>
        <w:spacing w:after="0" w:line="276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Hlk36715727"/>
    </w:p>
    <w:bookmarkEnd w:id="2"/>
    <w:p w14:paraId="14937FA3" w14:textId="77777777" w:rsidR="00C60D23" w:rsidRDefault="00C60D23" w:rsidP="00087EC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C60D23" w:rsidSect="00C60D23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216140E" w14:textId="36CC725A" w:rsidR="00727E9E" w:rsidRDefault="008C59E2" w:rsidP="0091385B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59E2">
        <w:rPr>
          <w:noProof/>
          <w:lang w:eastAsia="ru-RU"/>
        </w:rPr>
        <w:lastRenderedPageBreak/>
        <w:drawing>
          <wp:inline distT="0" distB="0" distL="0" distR="0" wp14:anchorId="6BCAA372" wp14:editId="790E2F8B">
            <wp:extent cx="9611995" cy="5875761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1995" cy="5875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384AB" w14:textId="1B4D6459" w:rsidR="00407B9D" w:rsidRDefault="00407B9D" w:rsidP="00CE58A8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ectPr w:rsidR="00407B9D" w:rsidSect="00C60D23">
          <w:pgSz w:w="16838" w:h="11906" w:orient="landscape"/>
          <w:pgMar w:top="1134" w:right="567" w:bottom="1134" w:left="1134" w:header="709" w:footer="709" w:gutter="0"/>
          <w:cols w:space="708"/>
          <w:docGrid w:linePitch="360"/>
        </w:sectPr>
      </w:pPr>
    </w:p>
    <w:p w14:paraId="496BD871" w14:textId="77777777" w:rsidR="005B4BF9" w:rsidRDefault="005B4BF9" w:rsidP="0086179C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2AC997" w14:textId="2AFC5C74" w:rsidR="00E16EE3" w:rsidRPr="006A4574" w:rsidRDefault="00E16EE3" w:rsidP="0091385B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4574">
        <w:rPr>
          <w:rFonts w:ascii="Times New Roman" w:hAnsi="Times New Roman" w:cs="Times New Roman"/>
          <w:sz w:val="28"/>
          <w:szCs w:val="28"/>
          <w:lang w:eastAsia="ru-RU"/>
        </w:rPr>
        <w:t>Одним из главных приоритетов Программы до 202</w:t>
      </w:r>
      <w:r w:rsidR="0091385B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года является комплекс мероприятий, направленный на увеличение поступлений в бюджет Лахденпохского муниципального района. </w:t>
      </w:r>
    </w:p>
    <w:p w14:paraId="08F44314" w14:textId="01170A4D" w:rsidR="00656E3B" w:rsidRPr="006A4574" w:rsidRDefault="0091385B" w:rsidP="0091385B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656E3B"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аблюдается стабильная динамика роста поступление собственных доходов </w:t>
      </w:r>
      <w:r w:rsidR="00305A0C">
        <w:rPr>
          <w:rFonts w:ascii="Times New Roman" w:hAnsi="Times New Roman" w:cs="Times New Roman"/>
          <w:sz w:val="28"/>
          <w:szCs w:val="28"/>
          <w:lang w:eastAsia="ru-RU"/>
        </w:rPr>
        <w:t xml:space="preserve">консолидированного </w:t>
      </w:r>
      <w:r w:rsidR="00656E3B" w:rsidRPr="006A4574">
        <w:rPr>
          <w:rFonts w:ascii="Times New Roman" w:hAnsi="Times New Roman" w:cs="Times New Roman"/>
          <w:sz w:val="28"/>
          <w:szCs w:val="28"/>
          <w:lang w:eastAsia="ru-RU"/>
        </w:rPr>
        <w:t>бюджета Лахденпохского района.</w:t>
      </w:r>
    </w:p>
    <w:p w14:paraId="0CE20A38" w14:textId="7DCDCF84" w:rsidR="00436223" w:rsidRPr="006A4574" w:rsidRDefault="00656E3B" w:rsidP="0091385B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4574">
        <w:rPr>
          <w:rFonts w:ascii="Times New Roman" w:hAnsi="Times New Roman" w:cs="Times New Roman"/>
          <w:sz w:val="28"/>
          <w:szCs w:val="28"/>
          <w:lang w:eastAsia="ru-RU"/>
        </w:rPr>
        <w:t>Темп роста в 20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E58A8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году по отношению к </w:t>
      </w:r>
      <w:r w:rsidR="00D81B31" w:rsidRPr="006A4574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E58A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81B31"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составил </w:t>
      </w:r>
      <w:r w:rsidR="00305A0C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CE58A8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81B31"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% или </w:t>
      </w:r>
      <w:r w:rsidR="00305A0C">
        <w:rPr>
          <w:rFonts w:ascii="Times New Roman" w:hAnsi="Times New Roman" w:cs="Times New Roman"/>
          <w:sz w:val="28"/>
          <w:szCs w:val="28"/>
          <w:lang w:eastAsia="ru-RU"/>
        </w:rPr>
        <w:t>33,1</w:t>
      </w:r>
      <w:r w:rsidR="00D81B31"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млн.</w:t>
      </w:r>
      <w:r w:rsidR="006A4574"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81B31"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рублей, к </w:t>
      </w:r>
      <w:r w:rsidRPr="006A4574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E58A8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году 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305A0C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% или </w:t>
      </w:r>
      <w:r w:rsidR="00305A0C">
        <w:rPr>
          <w:rFonts w:ascii="Times New Roman" w:hAnsi="Times New Roman" w:cs="Times New Roman"/>
          <w:sz w:val="28"/>
          <w:szCs w:val="28"/>
          <w:lang w:eastAsia="ru-RU"/>
        </w:rPr>
        <w:t>40,6</w:t>
      </w:r>
      <w:r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млн.</w:t>
      </w:r>
      <w:r w:rsidR="006A4574"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A4574">
        <w:rPr>
          <w:rFonts w:ascii="Times New Roman" w:hAnsi="Times New Roman" w:cs="Times New Roman"/>
          <w:sz w:val="28"/>
          <w:szCs w:val="28"/>
          <w:lang w:eastAsia="ru-RU"/>
        </w:rPr>
        <w:t>рублей.</w:t>
      </w:r>
    </w:p>
    <w:p w14:paraId="15CD3C01" w14:textId="22388817" w:rsidR="006A4574" w:rsidRDefault="00D81B31" w:rsidP="0091385B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4574">
        <w:rPr>
          <w:rFonts w:ascii="Times New Roman" w:hAnsi="Times New Roman" w:cs="Times New Roman"/>
          <w:sz w:val="28"/>
          <w:szCs w:val="28"/>
          <w:lang w:eastAsia="ru-RU"/>
        </w:rPr>
        <w:t>В свою очередь, доля налоговых доходов в 20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CE58A8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году составила </w:t>
      </w:r>
      <w:r w:rsidR="00305A0C">
        <w:rPr>
          <w:rFonts w:ascii="Times New Roman" w:hAnsi="Times New Roman" w:cs="Times New Roman"/>
          <w:sz w:val="28"/>
          <w:szCs w:val="28"/>
          <w:lang w:eastAsia="ru-RU"/>
        </w:rPr>
        <w:t>60,5</w:t>
      </w:r>
      <w:r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%, в 20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305A0C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году – 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 xml:space="preserve">67 </w:t>
      </w:r>
      <w:r w:rsidRPr="006A4574">
        <w:rPr>
          <w:rFonts w:ascii="Times New Roman" w:hAnsi="Times New Roman" w:cs="Times New Roman"/>
          <w:sz w:val="28"/>
          <w:szCs w:val="28"/>
          <w:lang w:eastAsia="ru-RU"/>
        </w:rPr>
        <w:t>%, в 20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>23</w:t>
      </w:r>
      <w:r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году – </w:t>
      </w:r>
      <w:r w:rsidR="00305A0C">
        <w:rPr>
          <w:rFonts w:ascii="Times New Roman" w:hAnsi="Times New Roman" w:cs="Times New Roman"/>
          <w:sz w:val="28"/>
          <w:szCs w:val="28"/>
          <w:lang w:eastAsia="ru-RU"/>
        </w:rPr>
        <w:t>65</w:t>
      </w:r>
      <w:r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%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92336B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 xml:space="preserve"> 2024 год</w:t>
      </w:r>
      <w:r w:rsidR="0092336B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 xml:space="preserve"> – 7</w:t>
      </w:r>
      <w:r w:rsidR="00305A0C">
        <w:rPr>
          <w:rFonts w:ascii="Times New Roman" w:hAnsi="Times New Roman" w:cs="Times New Roman"/>
          <w:sz w:val="28"/>
          <w:szCs w:val="28"/>
          <w:lang w:eastAsia="ru-RU"/>
        </w:rPr>
        <w:t xml:space="preserve">2,2 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>%</w:t>
      </w:r>
      <w:r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от общей суммы налоговых и неналоговых доходов</w:t>
      </w:r>
      <w:r w:rsidR="003A5E33"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и обеспечено 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>в основном за счет роста поступления</w:t>
      </w:r>
      <w:r w:rsidR="003A5E33" w:rsidRPr="006A4574">
        <w:rPr>
          <w:rFonts w:ascii="Times New Roman" w:hAnsi="Times New Roman" w:cs="Times New Roman"/>
          <w:sz w:val="28"/>
          <w:szCs w:val="28"/>
          <w:lang w:eastAsia="ru-RU"/>
        </w:rPr>
        <w:t xml:space="preserve"> налог</w:t>
      </w:r>
      <w:r w:rsidR="0084487E">
        <w:rPr>
          <w:rFonts w:ascii="Times New Roman" w:hAnsi="Times New Roman" w:cs="Times New Roman"/>
          <w:sz w:val="28"/>
          <w:szCs w:val="28"/>
          <w:lang w:eastAsia="ru-RU"/>
        </w:rPr>
        <w:t>а на доходы физических лиц</w:t>
      </w:r>
      <w:r w:rsidR="003A5E33" w:rsidRPr="006A457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7FE5235F" w14:textId="6DC99FD0" w:rsidR="0084487E" w:rsidRPr="0084487E" w:rsidRDefault="0084487E" w:rsidP="0084487E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4487E">
        <w:rPr>
          <w:rFonts w:ascii="Times New Roman" w:hAnsi="Times New Roman" w:cs="Times New Roman"/>
          <w:sz w:val="28"/>
          <w:szCs w:val="28"/>
          <w:lang w:eastAsia="ru-RU"/>
        </w:rPr>
        <w:t xml:space="preserve">Поступление неналоговых доходов нестабильно, их положительная динамика зависит от разовых крупных платежей в бюджет </w:t>
      </w:r>
      <w:r>
        <w:rPr>
          <w:rFonts w:ascii="Times New Roman" w:hAnsi="Times New Roman" w:cs="Times New Roman"/>
          <w:sz w:val="28"/>
          <w:szCs w:val="28"/>
          <w:lang w:eastAsia="ru-RU"/>
        </w:rPr>
        <w:t>Лахденпохского муниципального района</w:t>
      </w:r>
      <w:r w:rsidRPr="0084487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64B6F">
        <w:rPr>
          <w:rFonts w:ascii="Times New Roman" w:hAnsi="Times New Roman" w:cs="Times New Roman"/>
          <w:sz w:val="28"/>
          <w:szCs w:val="28"/>
          <w:lang w:eastAsia="ru-RU"/>
        </w:rPr>
        <w:t xml:space="preserve"> В основном, к разовым платежам можно отнести платежи от реализации имущества и земельных участков, находящихся в собственности </w:t>
      </w:r>
      <w:r w:rsidR="00305A0C">
        <w:rPr>
          <w:rFonts w:ascii="Times New Roman" w:hAnsi="Times New Roman" w:cs="Times New Roman"/>
          <w:sz w:val="28"/>
          <w:szCs w:val="28"/>
          <w:lang w:eastAsia="ru-RU"/>
        </w:rPr>
        <w:t xml:space="preserve">муниципальных образований </w:t>
      </w:r>
      <w:r w:rsidR="00964B6F">
        <w:rPr>
          <w:rFonts w:ascii="Times New Roman" w:hAnsi="Times New Roman" w:cs="Times New Roman"/>
          <w:sz w:val="28"/>
          <w:szCs w:val="28"/>
          <w:lang w:eastAsia="ru-RU"/>
        </w:rPr>
        <w:t>Лахденпохского муниципального района.</w:t>
      </w:r>
    </w:p>
    <w:p w14:paraId="2B5F11B6" w14:textId="6C0B593D" w:rsidR="00141DAE" w:rsidRPr="00B46F82" w:rsidRDefault="003A5E33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B46F82">
        <w:rPr>
          <w:rFonts w:ascii="Times New Roman" w:hAnsi="Times New Roman" w:cs="Times New Roman"/>
          <w:sz w:val="28"/>
          <w:szCs w:val="28"/>
          <w:lang w:eastAsia="zh-CN"/>
        </w:rPr>
        <w:t xml:space="preserve">Наибольший удельный вес в структуре собственных доходов </w:t>
      </w:r>
      <w:r w:rsidR="00305A0C">
        <w:rPr>
          <w:rFonts w:ascii="Times New Roman" w:hAnsi="Times New Roman" w:cs="Times New Roman"/>
          <w:sz w:val="28"/>
          <w:szCs w:val="28"/>
          <w:lang w:eastAsia="zh-CN"/>
        </w:rPr>
        <w:t xml:space="preserve">консолидированного </w:t>
      </w:r>
      <w:r w:rsidRPr="00B46F82">
        <w:rPr>
          <w:rFonts w:ascii="Times New Roman" w:hAnsi="Times New Roman" w:cs="Times New Roman"/>
          <w:sz w:val="28"/>
          <w:szCs w:val="28"/>
          <w:lang w:eastAsia="zh-CN"/>
        </w:rPr>
        <w:t>бюджета Лахденпохского муниципального района</w:t>
      </w:r>
      <w:r w:rsidR="00D379A8">
        <w:rPr>
          <w:rFonts w:ascii="Times New Roman" w:hAnsi="Times New Roman" w:cs="Times New Roman"/>
          <w:sz w:val="28"/>
          <w:szCs w:val="28"/>
          <w:lang w:eastAsia="zh-CN"/>
        </w:rPr>
        <w:t xml:space="preserve">, а именно </w:t>
      </w:r>
      <w:r w:rsidR="00305A0C">
        <w:rPr>
          <w:rFonts w:ascii="Times New Roman" w:hAnsi="Times New Roman" w:cs="Times New Roman"/>
          <w:sz w:val="28"/>
          <w:szCs w:val="28"/>
          <w:lang w:eastAsia="zh-CN"/>
        </w:rPr>
        <w:t>57</w:t>
      </w:r>
      <w:r w:rsidR="00D379A8">
        <w:rPr>
          <w:rFonts w:ascii="Times New Roman" w:hAnsi="Times New Roman" w:cs="Times New Roman"/>
          <w:sz w:val="28"/>
          <w:szCs w:val="28"/>
          <w:lang w:eastAsia="zh-CN"/>
        </w:rPr>
        <w:t xml:space="preserve"> %, </w:t>
      </w:r>
      <w:r w:rsidRPr="00B46F82">
        <w:rPr>
          <w:rFonts w:ascii="Times New Roman" w:hAnsi="Times New Roman" w:cs="Times New Roman"/>
          <w:sz w:val="28"/>
          <w:szCs w:val="28"/>
          <w:lang w:eastAsia="zh-CN"/>
        </w:rPr>
        <w:t xml:space="preserve"> занимает налог на доходы физических лиц (НДФЛ).</w:t>
      </w:r>
    </w:p>
    <w:p w14:paraId="2E4A4A14" w14:textId="4139EC63" w:rsidR="003A5E33" w:rsidRDefault="003A5E33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B46F82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964B6F">
        <w:rPr>
          <w:rFonts w:ascii="Times New Roman" w:hAnsi="Times New Roman" w:cs="Times New Roman"/>
          <w:sz w:val="28"/>
          <w:szCs w:val="28"/>
          <w:lang w:eastAsia="zh-CN"/>
        </w:rPr>
        <w:t>Даже в условиях введения в 2023 году единого налогового счета, что повлекло за собой, особенно в первой половине 2023 года, нестабильное поступление НДФЛ в бюджет района, п</w:t>
      </w:r>
      <w:r w:rsidRPr="00B46F82">
        <w:rPr>
          <w:rFonts w:ascii="Times New Roman" w:hAnsi="Times New Roman" w:cs="Times New Roman"/>
          <w:sz w:val="28"/>
          <w:szCs w:val="28"/>
          <w:lang w:eastAsia="zh-CN"/>
        </w:rPr>
        <w:t xml:space="preserve">лановые назначения выполнены на </w:t>
      </w:r>
      <w:r w:rsidR="00964B6F">
        <w:rPr>
          <w:rFonts w:ascii="Times New Roman" w:hAnsi="Times New Roman" w:cs="Times New Roman"/>
          <w:sz w:val="28"/>
          <w:szCs w:val="28"/>
          <w:lang w:eastAsia="zh-CN"/>
        </w:rPr>
        <w:t>102</w:t>
      </w:r>
      <w:r w:rsidRPr="00B46F82">
        <w:rPr>
          <w:rFonts w:ascii="Times New Roman" w:hAnsi="Times New Roman" w:cs="Times New Roman"/>
          <w:sz w:val="28"/>
          <w:szCs w:val="28"/>
          <w:lang w:eastAsia="zh-CN"/>
        </w:rPr>
        <w:t xml:space="preserve"> процент</w:t>
      </w:r>
      <w:r w:rsidR="00055E77">
        <w:rPr>
          <w:rFonts w:ascii="Times New Roman" w:hAnsi="Times New Roman" w:cs="Times New Roman"/>
          <w:sz w:val="28"/>
          <w:szCs w:val="28"/>
          <w:lang w:eastAsia="zh-CN"/>
        </w:rPr>
        <w:t>а, обеспечен рост к</w:t>
      </w:r>
      <w:r w:rsidR="00964B6F">
        <w:rPr>
          <w:rFonts w:ascii="Times New Roman" w:hAnsi="Times New Roman" w:cs="Times New Roman"/>
          <w:sz w:val="28"/>
          <w:szCs w:val="28"/>
          <w:lang w:eastAsia="zh-CN"/>
        </w:rPr>
        <w:t xml:space="preserve"> факту 2022 года на </w:t>
      </w:r>
      <w:r w:rsidR="008C59E2">
        <w:rPr>
          <w:rFonts w:ascii="Times New Roman" w:hAnsi="Times New Roman" w:cs="Times New Roman"/>
          <w:sz w:val="28"/>
          <w:szCs w:val="28"/>
          <w:lang w:eastAsia="zh-CN"/>
        </w:rPr>
        <w:t>6</w:t>
      </w:r>
      <w:r w:rsidR="00964B6F">
        <w:rPr>
          <w:rFonts w:ascii="Times New Roman" w:hAnsi="Times New Roman" w:cs="Times New Roman"/>
          <w:sz w:val="28"/>
          <w:szCs w:val="28"/>
          <w:lang w:eastAsia="zh-CN"/>
        </w:rPr>
        <w:t xml:space="preserve"> процентов или </w:t>
      </w:r>
      <w:r w:rsidR="008C59E2">
        <w:rPr>
          <w:rFonts w:ascii="Times New Roman" w:hAnsi="Times New Roman" w:cs="Times New Roman"/>
          <w:sz w:val="28"/>
          <w:szCs w:val="28"/>
          <w:lang w:eastAsia="zh-CN"/>
        </w:rPr>
        <w:t>7,6</w:t>
      </w:r>
      <w:r w:rsidR="00964B6F">
        <w:rPr>
          <w:rFonts w:ascii="Times New Roman" w:hAnsi="Times New Roman" w:cs="Times New Roman"/>
          <w:sz w:val="28"/>
          <w:szCs w:val="28"/>
          <w:lang w:eastAsia="zh-CN"/>
        </w:rPr>
        <w:t xml:space="preserve"> млн. </w:t>
      </w:r>
      <w:proofErr w:type="spellStart"/>
      <w:r w:rsidR="00964B6F">
        <w:rPr>
          <w:rFonts w:ascii="Times New Roman" w:hAnsi="Times New Roman" w:cs="Times New Roman"/>
          <w:sz w:val="28"/>
          <w:szCs w:val="28"/>
          <w:lang w:eastAsia="zh-CN"/>
        </w:rPr>
        <w:t>рублей</w:t>
      </w:r>
      <w:proofErr w:type="gramStart"/>
      <w:r w:rsidR="00964B6F">
        <w:rPr>
          <w:rFonts w:ascii="Times New Roman" w:hAnsi="Times New Roman" w:cs="Times New Roman"/>
          <w:sz w:val="28"/>
          <w:szCs w:val="28"/>
          <w:lang w:eastAsia="zh-CN"/>
        </w:rPr>
        <w:t>.</w:t>
      </w:r>
      <w:r w:rsidR="008C59E2">
        <w:rPr>
          <w:rFonts w:ascii="Times New Roman" w:hAnsi="Times New Roman" w:cs="Times New Roman"/>
          <w:sz w:val="28"/>
          <w:szCs w:val="28"/>
          <w:lang w:eastAsia="zh-CN"/>
        </w:rPr>
        <w:t>В</w:t>
      </w:r>
      <w:proofErr w:type="spellEnd"/>
      <w:proofErr w:type="gramEnd"/>
      <w:r w:rsidR="00964B6F">
        <w:rPr>
          <w:rFonts w:ascii="Times New Roman" w:hAnsi="Times New Roman" w:cs="Times New Roman"/>
          <w:sz w:val="28"/>
          <w:szCs w:val="28"/>
          <w:lang w:eastAsia="zh-CN"/>
        </w:rPr>
        <w:t xml:space="preserve"> 2024 год</w:t>
      </w:r>
      <w:r w:rsidR="008C59E2">
        <w:rPr>
          <w:rFonts w:ascii="Times New Roman" w:hAnsi="Times New Roman" w:cs="Times New Roman"/>
          <w:sz w:val="28"/>
          <w:szCs w:val="28"/>
          <w:lang w:eastAsia="zh-CN"/>
        </w:rPr>
        <w:t>у</w:t>
      </w:r>
      <w:r w:rsidR="00964B6F">
        <w:rPr>
          <w:rFonts w:ascii="Times New Roman" w:hAnsi="Times New Roman" w:cs="Times New Roman"/>
          <w:sz w:val="28"/>
          <w:szCs w:val="28"/>
          <w:lang w:eastAsia="zh-CN"/>
        </w:rPr>
        <w:t xml:space="preserve"> рост поступлений от НДФЛ </w:t>
      </w:r>
      <w:r w:rsidR="008C59E2">
        <w:rPr>
          <w:rFonts w:ascii="Times New Roman" w:hAnsi="Times New Roman" w:cs="Times New Roman"/>
          <w:sz w:val="28"/>
          <w:szCs w:val="28"/>
          <w:lang w:eastAsia="zh-CN"/>
        </w:rPr>
        <w:t xml:space="preserve">составил </w:t>
      </w:r>
      <w:r w:rsidR="00964B6F">
        <w:rPr>
          <w:rFonts w:ascii="Times New Roman" w:hAnsi="Times New Roman" w:cs="Times New Roman"/>
          <w:sz w:val="28"/>
          <w:szCs w:val="28"/>
          <w:lang w:eastAsia="zh-CN"/>
        </w:rPr>
        <w:t>2</w:t>
      </w:r>
      <w:r w:rsidR="008C59E2">
        <w:rPr>
          <w:rFonts w:ascii="Times New Roman" w:hAnsi="Times New Roman" w:cs="Times New Roman"/>
          <w:sz w:val="28"/>
          <w:szCs w:val="28"/>
          <w:lang w:eastAsia="zh-CN"/>
        </w:rPr>
        <w:t>8</w:t>
      </w:r>
      <w:r w:rsidR="00964B6F">
        <w:rPr>
          <w:rFonts w:ascii="Times New Roman" w:hAnsi="Times New Roman" w:cs="Times New Roman"/>
          <w:sz w:val="28"/>
          <w:szCs w:val="28"/>
          <w:lang w:eastAsia="zh-CN"/>
        </w:rPr>
        <w:t xml:space="preserve"> процент</w:t>
      </w:r>
      <w:r w:rsidR="008C59E2">
        <w:rPr>
          <w:rFonts w:ascii="Times New Roman" w:hAnsi="Times New Roman" w:cs="Times New Roman"/>
          <w:sz w:val="28"/>
          <w:szCs w:val="28"/>
          <w:lang w:eastAsia="zh-CN"/>
        </w:rPr>
        <w:t>ов к факту 2023 года или 3</w:t>
      </w:r>
      <w:r w:rsidR="00964B6F">
        <w:rPr>
          <w:rFonts w:ascii="Times New Roman" w:hAnsi="Times New Roman" w:cs="Times New Roman"/>
          <w:sz w:val="28"/>
          <w:szCs w:val="28"/>
          <w:lang w:eastAsia="zh-CN"/>
        </w:rPr>
        <w:t>6 млн. рублей.</w:t>
      </w:r>
    </w:p>
    <w:p w14:paraId="3AADE67E" w14:textId="54B4802A" w:rsidR="00964B6F" w:rsidRPr="00964B6F" w:rsidRDefault="00964B6F" w:rsidP="00D379A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964B6F">
        <w:rPr>
          <w:rFonts w:ascii="Times New Roman" w:hAnsi="Times New Roman" w:cs="Times New Roman"/>
          <w:sz w:val="28"/>
          <w:szCs w:val="28"/>
          <w:lang w:eastAsia="zh-CN"/>
        </w:rPr>
        <w:t>Для получения д</w:t>
      </w:r>
      <w:r w:rsidR="008C59E2">
        <w:rPr>
          <w:rFonts w:ascii="Times New Roman" w:hAnsi="Times New Roman" w:cs="Times New Roman"/>
          <w:sz w:val="28"/>
          <w:szCs w:val="28"/>
          <w:lang w:eastAsia="zh-CN"/>
        </w:rPr>
        <w:t>анного результата Администрацией</w:t>
      </w:r>
      <w:r w:rsidRPr="00964B6F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D379A8">
        <w:rPr>
          <w:rFonts w:ascii="Times New Roman" w:hAnsi="Times New Roman" w:cs="Times New Roman"/>
          <w:sz w:val="28"/>
          <w:szCs w:val="28"/>
          <w:lang w:eastAsia="zh-CN"/>
        </w:rPr>
        <w:t xml:space="preserve">Лахденпохского муниципального района </w:t>
      </w:r>
      <w:r w:rsidRPr="00964B6F">
        <w:rPr>
          <w:rFonts w:ascii="Times New Roman" w:hAnsi="Times New Roman" w:cs="Times New Roman"/>
          <w:sz w:val="28"/>
          <w:szCs w:val="28"/>
          <w:lang w:eastAsia="zh-CN"/>
        </w:rPr>
        <w:t>проведена работа:</w:t>
      </w:r>
    </w:p>
    <w:p w14:paraId="3C704B09" w14:textId="6DE29500" w:rsidR="00964B6F" w:rsidRPr="00964B6F" w:rsidRDefault="00964B6F" w:rsidP="00D379A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proofErr w:type="gramStart"/>
      <w:r w:rsidRPr="00964B6F">
        <w:rPr>
          <w:rFonts w:ascii="Times New Roman" w:hAnsi="Times New Roman" w:cs="Times New Roman"/>
          <w:sz w:val="28"/>
          <w:szCs w:val="28"/>
          <w:lang w:eastAsia="zh-CN"/>
        </w:rPr>
        <w:t xml:space="preserve">- по разъяснению и контролю достижения уровня установленной минимальной заработной платы в </w:t>
      </w:r>
      <w:r w:rsidRPr="00091046">
        <w:rPr>
          <w:rFonts w:ascii="Times New Roman" w:hAnsi="Times New Roman" w:cs="Times New Roman"/>
          <w:sz w:val="28"/>
          <w:szCs w:val="28"/>
          <w:lang w:eastAsia="zh-CN"/>
        </w:rPr>
        <w:t xml:space="preserve">условиях </w:t>
      </w:r>
      <w:hyperlink r:id="rId13" w:history="1">
        <w:r w:rsidRPr="00091046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lang w:eastAsia="zh-CN"/>
          </w:rPr>
          <w:t>постановления</w:t>
        </w:r>
      </w:hyperlink>
      <w:r w:rsidRPr="00091046">
        <w:rPr>
          <w:rFonts w:ascii="Times New Roman" w:hAnsi="Times New Roman" w:cs="Times New Roman"/>
          <w:sz w:val="28"/>
          <w:szCs w:val="28"/>
          <w:lang w:eastAsia="zh-CN"/>
        </w:rPr>
        <w:t xml:space="preserve"> Конституционного Суда Российской Федерации от 7 декабря 2017 года N 38-П (с применением </w:t>
      </w:r>
      <w:r w:rsidRPr="00964B6F">
        <w:rPr>
          <w:rFonts w:ascii="Times New Roman" w:hAnsi="Times New Roman" w:cs="Times New Roman"/>
          <w:sz w:val="28"/>
          <w:szCs w:val="28"/>
          <w:lang w:eastAsia="zh-CN"/>
        </w:rPr>
        <w:t xml:space="preserve">для лиц, работающих в районах Крайнего Севера и приравненных к ним местностях, районных коэффициентов и процентных надбавок к заработной плате) посредством информирования на официальном сайте Администрации </w:t>
      </w:r>
      <w:r w:rsidR="00D379A8">
        <w:rPr>
          <w:rFonts w:ascii="Times New Roman" w:hAnsi="Times New Roman" w:cs="Times New Roman"/>
          <w:sz w:val="28"/>
          <w:szCs w:val="28"/>
          <w:lang w:eastAsia="zh-CN"/>
        </w:rPr>
        <w:t xml:space="preserve">Лахденпохского муниципального района </w:t>
      </w:r>
      <w:r w:rsidRPr="00964B6F">
        <w:rPr>
          <w:rFonts w:ascii="Times New Roman" w:hAnsi="Times New Roman" w:cs="Times New Roman"/>
          <w:sz w:val="28"/>
          <w:szCs w:val="28"/>
          <w:lang w:eastAsia="zh-CN"/>
        </w:rPr>
        <w:t xml:space="preserve">и деятельности </w:t>
      </w:r>
      <w:r w:rsidR="00D379A8" w:rsidRPr="00D379A8">
        <w:rPr>
          <w:rFonts w:ascii="Times New Roman" w:hAnsi="Times New Roman" w:cs="Times New Roman"/>
          <w:sz w:val="28"/>
          <w:szCs w:val="28"/>
          <w:lang w:eastAsia="zh-CN"/>
        </w:rPr>
        <w:t>Комиссии по мобилизации</w:t>
      </w:r>
      <w:proofErr w:type="gramEnd"/>
      <w:r w:rsidR="00D379A8" w:rsidRPr="00D379A8">
        <w:rPr>
          <w:rFonts w:ascii="Times New Roman" w:hAnsi="Times New Roman" w:cs="Times New Roman"/>
          <w:sz w:val="28"/>
          <w:szCs w:val="28"/>
          <w:lang w:eastAsia="zh-CN"/>
        </w:rPr>
        <w:t xml:space="preserve"> дополнительных налоговых и неналоговых доходов в консолидированный бюджет Лахденпохского муниципального района</w:t>
      </w:r>
      <w:r w:rsidR="00D379A8">
        <w:rPr>
          <w:rFonts w:ascii="Times New Roman" w:hAnsi="Times New Roman" w:cs="Times New Roman"/>
          <w:sz w:val="28"/>
          <w:szCs w:val="28"/>
          <w:lang w:eastAsia="zh-CN"/>
        </w:rPr>
        <w:t xml:space="preserve"> (далее – Комиссия по мобилизации доходов)</w:t>
      </w:r>
      <w:r w:rsidRPr="00964B6F">
        <w:rPr>
          <w:rFonts w:ascii="Times New Roman" w:hAnsi="Times New Roman" w:cs="Times New Roman"/>
          <w:sz w:val="28"/>
          <w:szCs w:val="28"/>
          <w:lang w:eastAsia="zh-CN"/>
        </w:rPr>
        <w:t>;</w:t>
      </w:r>
    </w:p>
    <w:p w14:paraId="3AFB7B40" w14:textId="77777777" w:rsidR="00964B6F" w:rsidRPr="00964B6F" w:rsidRDefault="00964B6F" w:rsidP="00D379A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55E77">
        <w:rPr>
          <w:rFonts w:ascii="Times New Roman" w:hAnsi="Times New Roman" w:cs="Times New Roman"/>
          <w:sz w:val="28"/>
          <w:szCs w:val="28"/>
          <w:lang w:eastAsia="zh-CN"/>
        </w:rPr>
        <w:t>- по реализации инвестиционной деятельности, включая открытие новых рабочих мест;</w:t>
      </w:r>
    </w:p>
    <w:p w14:paraId="5CB41E11" w14:textId="664BF721" w:rsidR="00964B6F" w:rsidRPr="00055E77" w:rsidRDefault="00964B6F" w:rsidP="00D379A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55E77">
        <w:rPr>
          <w:rFonts w:ascii="Times New Roman" w:hAnsi="Times New Roman" w:cs="Times New Roman"/>
          <w:sz w:val="28"/>
          <w:szCs w:val="28"/>
          <w:lang w:eastAsia="zh-CN"/>
        </w:rPr>
        <w:t xml:space="preserve">- взаимодействие с ИФНС России по </w:t>
      </w:r>
      <w:r w:rsidR="00D379A8" w:rsidRPr="00055E77">
        <w:rPr>
          <w:rFonts w:ascii="Times New Roman" w:hAnsi="Times New Roman" w:cs="Times New Roman"/>
          <w:sz w:val="28"/>
          <w:szCs w:val="28"/>
          <w:lang w:eastAsia="zh-CN"/>
        </w:rPr>
        <w:t>Республике Карелия</w:t>
      </w:r>
      <w:r w:rsidRPr="00055E77">
        <w:rPr>
          <w:rFonts w:ascii="Times New Roman" w:hAnsi="Times New Roman" w:cs="Times New Roman"/>
          <w:sz w:val="28"/>
          <w:szCs w:val="28"/>
          <w:lang w:eastAsia="zh-CN"/>
        </w:rPr>
        <w:t xml:space="preserve"> по вопросу постановки на налоговый учет по месту осуществления деятельности организаций, выполняющих поставку товаров, выполнение работ, оказание услуг </w:t>
      </w:r>
      <w:r w:rsidR="00D379A8" w:rsidRPr="00055E77">
        <w:rPr>
          <w:rFonts w:ascii="Times New Roman" w:hAnsi="Times New Roman" w:cs="Times New Roman"/>
          <w:sz w:val="28"/>
          <w:szCs w:val="28"/>
          <w:lang w:eastAsia="zh-CN"/>
        </w:rPr>
        <w:t>на территории Лахденпохского муниципального района</w:t>
      </w:r>
      <w:r w:rsidRPr="00055E77">
        <w:rPr>
          <w:rFonts w:ascii="Times New Roman" w:hAnsi="Times New Roman" w:cs="Times New Roman"/>
          <w:sz w:val="28"/>
          <w:szCs w:val="28"/>
          <w:lang w:eastAsia="zh-CN"/>
        </w:rPr>
        <w:t xml:space="preserve">, головные структуры которых зарегистрированы за пределами </w:t>
      </w:r>
      <w:r w:rsidR="00D379A8" w:rsidRPr="00055E77">
        <w:rPr>
          <w:rFonts w:ascii="Times New Roman" w:hAnsi="Times New Roman" w:cs="Times New Roman"/>
          <w:sz w:val="28"/>
          <w:szCs w:val="28"/>
          <w:lang w:eastAsia="zh-CN"/>
        </w:rPr>
        <w:t>Лахденпохского района</w:t>
      </w:r>
      <w:r w:rsidRPr="00055E77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14:paraId="04F24786" w14:textId="0FA197C0" w:rsidR="00964B6F" w:rsidRPr="00055E77" w:rsidRDefault="00964B6F" w:rsidP="00D379A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55E77">
        <w:rPr>
          <w:rFonts w:ascii="Times New Roman" w:hAnsi="Times New Roman" w:cs="Times New Roman"/>
          <w:sz w:val="28"/>
          <w:szCs w:val="28"/>
          <w:lang w:eastAsia="zh-CN"/>
        </w:rPr>
        <w:lastRenderedPageBreak/>
        <w:t xml:space="preserve">Кроме того, посредством деятельности комиссии по мобилизации доходов осуществлялось межведомственное взаимодействие с территориальными органами федеральных органов исполнительной власти в Республике Карелия, органами </w:t>
      </w:r>
      <w:r w:rsidR="00D379A8" w:rsidRPr="00055E77">
        <w:rPr>
          <w:rFonts w:ascii="Times New Roman" w:hAnsi="Times New Roman" w:cs="Times New Roman"/>
          <w:sz w:val="28"/>
          <w:szCs w:val="28"/>
          <w:lang w:eastAsia="zh-CN"/>
        </w:rPr>
        <w:t>местного самоуправления сельских поселений Лахденпохского муниципального района</w:t>
      </w:r>
      <w:r w:rsidRPr="00055E77">
        <w:rPr>
          <w:rFonts w:ascii="Times New Roman" w:hAnsi="Times New Roman" w:cs="Times New Roman"/>
          <w:sz w:val="28"/>
          <w:szCs w:val="28"/>
          <w:lang w:eastAsia="zh-CN"/>
        </w:rPr>
        <w:t>, направленное на повышение собираемости доходов и сокращение налоговой задолженности.</w:t>
      </w:r>
    </w:p>
    <w:p w14:paraId="7EDF1F4D" w14:textId="15235204" w:rsidR="00293EDF" w:rsidRPr="00055E77" w:rsidRDefault="00293EDF" w:rsidP="00293EDF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55E77">
        <w:rPr>
          <w:rFonts w:ascii="Times New Roman" w:hAnsi="Times New Roman" w:cs="Times New Roman"/>
          <w:sz w:val="28"/>
          <w:szCs w:val="28"/>
          <w:lang w:eastAsia="zh-CN"/>
        </w:rPr>
        <w:t>В 2024 году введен новый доходный источник - плата по договорам на установку и эксплуатацию рекламных конструкций, что обеспечило дополнительное поступление доходов в бюджет Лахденпохского муниципального района</w:t>
      </w:r>
      <w:r w:rsidR="005D5CC8">
        <w:rPr>
          <w:rFonts w:ascii="Times New Roman" w:hAnsi="Times New Roman" w:cs="Times New Roman"/>
          <w:sz w:val="28"/>
          <w:szCs w:val="28"/>
          <w:lang w:eastAsia="zh-CN"/>
        </w:rPr>
        <w:t xml:space="preserve"> в 2024 году 1</w:t>
      </w:r>
      <w:r w:rsidR="002B6CF4" w:rsidRPr="00055E77">
        <w:rPr>
          <w:rFonts w:ascii="Times New Roman" w:hAnsi="Times New Roman" w:cs="Times New Roman"/>
          <w:sz w:val="28"/>
          <w:szCs w:val="28"/>
          <w:lang w:eastAsia="zh-CN"/>
        </w:rPr>
        <w:t xml:space="preserve"> млн. рублей.</w:t>
      </w:r>
      <w:r w:rsidRPr="00055E77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2B6CF4" w:rsidRPr="00055E77">
        <w:rPr>
          <w:rFonts w:ascii="Times New Roman" w:hAnsi="Times New Roman" w:cs="Times New Roman"/>
          <w:sz w:val="28"/>
          <w:szCs w:val="28"/>
          <w:lang w:eastAsia="zh-CN"/>
        </w:rPr>
        <w:t>В 2025 году планируется доход в размере 0,5 млн. рублей.</w:t>
      </w:r>
    </w:p>
    <w:p w14:paraId="3D9A93C3" w14:textId="04A9E896" w:rsidR="002B6CF4" w:rsidRPr="002B6CF4" w:rsidRDefault="002B6CF4" w:rsidP="002B6CF4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055E77">
        <w:rPr>
          <w:rFonts w:ascii="Times New Roman" w:hAnsi="Times New Roman" w:cs="Times New Roman"/>
          <w:sz w:val="28"/>
          <w:szCs w:val="28"/>
          <w:lang w:eastAsia="zh-CN"/>
        </w:rPr>
        <w:t>В целях активизации работы по администрированию неналоговых доходов на</w:t>
      </w:r>
      <w:r w:rsidRPr="002B6CF4">
        <w:rPr>
          <w:rFonts w:ascii="Times New Roman" w:hAnsi="Times New Roman" w:cs="Times New Roman"/>
          <w:sz w:val="28"/>
          <w:szCs w:val="28"/>
          <w:lang w:eastAsia="zh-CN"/>
        </w:rPr>
        <w:t xml:space="preserve"> уровне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Главы Администрации Лахденпохского муниципального района </w:t>
      </w:r>
      <w:r w:rsidRPr="002B6CF4">
        <w:rPr>
          <w:rFonts w:ascii="Times New Roman" w:hAnsi="Times New Roman" w:cs="Times New Roman"/>
          <w:sz w:val="28"/>
          <w:szCs w:val="28"/>
          <w:lang w:eastAsia="zh-CN"/>
        </w:rPr>
        <w:t>рассматривались вопросы мониторинга наличия дебиторской задолженности, а также меры, предпринимаемые по сокращению имеющейся задолженности.</w:t>
      </w:r>
    </w:p>
    <w:p w14:paraId="4325EDD9" w14:textId="35790163" w:rsidR="002B6CF4" w:rsidRPr="002B6CF4" w:rsidRDefault="002B6CF4" w:rsidP="002B6CF4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2B6CF4">
        <w:rPr>
          <w:rFonts w:ascii="Times New Roman" w:hAnsi="Times New Roman" w:cs="Times New Roman"/>
          <w:sz w:val="28"/>
          <w:szCs w:val="28"/>
          <w:lang w:eastAsia="zh-CN"/>
        </w:rPr>
        <w:t xml:space="preserve">В дальнейшем главным администраторам и администраторам доходов бюджета </w:t>
      </w:r>
      <w:r>
        <w:rPr>
          <w:rFonts w:ascii="Times New Roman" w:hAnsi="Times New Roman" w:cs="Times New Roman"/>
          <w:sz w:val="28"/>
          <w:szCs w:val="28"/>
          <w:lang w:eastAsia="zh-CN"/>
        </w:rPr>
        <w:t>Лахденпохского муниципального района</w:t>
      </w:r>
      <w:r w:rsidRPr="002B6CF4">
        <w:rPr>
          <w:rFonts w:ascii="Times New Roman" w:hAnsi="Times New Roman" w:cs="Times New Roman"/>
          <w:sz w:val="28"/>
          <w:szCs w:val="28"/>
          <w:lang w:eastAsia="zh-CN"/>
        </w:rPr>
        <w:t xml:space="preserve"> необходимо активизировать работу по мобилизации резервов роста доходов в бюджет </w:t>
      </w:r>
      <w:r>
        <w:rPr>
          <w:rFonts w:ascii="Times New Roman" w:hAnsi="Times New Roman" w:cs="Times New Roman"/>
          <w:sz w:val="28"/>
          <w:szCs w:val="28"/>
          <w:lang w:eastAsia="zh-CN"/>
        </w:rPr>
        <w:t>района</w:t>
      </w:r>
      <w:r w:rsidRPr="002B6CF4">
        <w:rPr>
          <w:rFonts w:ascii="Times New Roman" w:hAnsi="Times New Roman" w:cs="Times New Roman"/>
          <w:sz w:val="28"/>
          <w:szCs w:val="28"/>
          <w:lang w:eastAsia="zh-CN"/>
        </w:rPr>
        <w:t xml:space="preserve">, в том числе в части легализации налоговых доходов,  активизации </w:t>
      </w:r>
      <w:proofErr w:type="spellStart"/>
      <w:r w:rsidRPr="002B6CF4">
        <w:rPr>
          <w:rFonts w:ascii="Times New Roman" w:hAnsi="Times New Roman" w:cs="Times New Roman"/>
          <w:sz w:val="28"/>
          <w:szCs w:val="28"/>
          <w:lang w:eastAsia="zh-CN"/>
        </w:rPr>
        <w:t>претензионно</w:t>
      </w:r>
      <w:proofErr w:type="spellEnd"/>
      <w:r w:rsidRPr="002B6CF4">
        <w:rPr>
          <w:rFonts w:ascii="Times New Roman" w:hAnsi="Times New Roman" w:cs="Times New Roman"/>
          <w:sz w:val="28"/>
          <w:szCs w:val="28"/>
          <w:lang w:eastAsia="zh-CN"/>
        </w:rPr>
        <w:t xml:space="preserve">-исковой работы с неплательщиками, проведения мероприятий по недопущению возникновения задолженности </w:t>
      </w:r>
      <w:r w:rsidR="005D5CC8">
        <w:rPr>
          <w:rFonts w:ascii="Times New Roman" w:hAnsi="Times New Roman" w:cs="Times New Roman"/>
          <w:sz w:val="28"/>
          <w:szCs w:val="28"/>
          <w:lang w:eastAsia="zh-CN"/>
        </w:rPr>
        <w:t>по текущим платежам и сокращению</w:t>
      </w:r>
      <w:r w:rsidRPr="002B6CF4">
        <w:rPr>
          <w:rFonts w:ascii="Times New Roman" w:hAnsi="Times New Roman" w:cs="Times New Roman"/>
          <w:sz w:val="28"/>
          <w:szCs w:val="28"/>
          <w:lang w:eastAsia="zh-CN"/>
        </w:rPr>
        <w:t xml:space="preserve"> просроченной задолженности.</w:t>
      </w:r>
    </w:p>
    <w:p w14:paraId="11CCEAC0" w14:textId="2F2068E3" w:rsidR="00950CC5" w:rsidRDefault="00950CC5" w:rsidP="00B46F82">
      <w:pPr>
        <w:pStyle w:val="a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46F82">
        <w:rPr>
          <w:rFonts w:ascii="Times New Roman" w:eastAsia="Calibri" w:hAnsi="Times New Roman" w:cs="Times New Roman"/>
          <w:sz w:val="28"/>
          <w:szCs w:val="28"/>
        </w:rPr>
        <w:t xml:space="preserve">В результате указанные факторы негативно влияют на значение такого показателя, как соотношение объема долга к доходам бюджета </w:t>
      </w:r>
      <w:r w:rsidR="008C60F0" w:rsidRPr="00B46F82">
        <w:rPr>
          <w:rFonts w:ascii="Times New Roman" w:eastAsia="Calibri" w:hAnsi="Times New Roman" w:cs="Times New Roman"/>
          <w:sz w:val="28"/>
          <w:szCs w:val="28"/>
        </w:rPr>
        <w:t>Лахденпохского муниципального района</w:t>
      </w:r>
      <w:r w:rsidRPr="00B46F82">
        <w:rPr>
          <w:rFonts w:ascii="Times New Roman" w:eastAsia="Calibri" w:hAnsi="Times New Roman" w:cs="Times New Roman"/>
          <w:sz w:val="28"/>
          <w:szCs w:val="28"/>
        </w:rPr>
        <w:t>, отражающего возможность управления долгом.</w:t>
      </w:r>
    </w:p>
    <w:p w14:paraId="54958F8F" w14:textId="77777777" w:rsidR="00933888" w:rsidRDefault="00933888" w:rsidP="0093388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F4414E">
        <w:rPr>
          <w:rFonts w:ascii="Times New Roman" w:hAnsi="Times New Roman" w:cs="Times New Roman"/>
          <w:sz w:val="28"/>
          <w:szCs w:val="28"/>
        </w:rPr>
        <w:t>Программой оздоровления муниципальных финансов Лахденпохского муниципального района в 2022-2024</w:t>
      </w:r>
      <w:r>
        <w:rPr>
          <w:rFonts w:ascii="Times New Roman" w:hAnsi="Times New Roman" w:cs="Times New Roman"/>
          <w:sz w:val="28"/>
          <w:szCs w:val="28"/>
        </w:rPr>
        <w:t xml:space="preserve"> проводились мероприятия по повышению эффективности бюджетных расходов. </w:t>
      </w:r>
    </w:p>
    <w:p w14:paraId="70A390D7" w14:textId="08B14AD4" w:rsidR="00933888" w:rsidRDefault="00933888" w:rsidP="0093388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реализации мероприятия «Повышение эффективности расходов на оплату труда работников муниципальных учреждений произведено сокращение штатной численности работников муниципальных учреждений в количестве 5 единиц, что повлекло за собой экономию средств бюджета в размере 4,5 млн. рублей без ухудшения качества предоставляемых муниципальных услуг.</w:t>
      </w:r>
    </w:p>
    <w:p w14:paraId="4DF88024" w14:textId="77777777" w:rsidR="00933888" w:rsidRDefault="00933888" w:rsidP="0093388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Рост доходов бюджетных учреждений от иной приносящей доходов деятельности в размере 1,8 млн. рублей позволил снизить финансовую нагрузку на бюджет Лахденпохского муниципального района.</w:t>
      </w:r>
    </w:p>
    <w:p w14:paraId="5158BE9E" w14:textId="77777777" w:rsidR="00933888" w:rsidRPr="00F4414E" w:rsidRDefault="00933888" w:rsidP="00933888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положений Федерального</w:t>
      </w:r>
      <w:r w:rsidRPr="00F4414E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 от 05.04.2013 №</w:t>
      </w:r>
      <w:r w:rsidRPr="00F4414E">
        <w:rPr>
          <w:rFonts w:ascii="Times New Roman" w:hAnsi="Times New Roman" w:cs="Times New Roman"/>
          <w:sz w:val="28"/>
          <w:szCs w:val="28"/>
        </w:rPr>
        <w:t xml:space="preserve"> 44-ФЗ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4414E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414E">
        <w:rPr>
          <w:rFonts w:ascii="Times New Roman" w:hAnsi="Times New Roman" w:cs="Times New Roman"/>
          <w:sz w:val="28"/>
          <w:szCs w:val="28"/>
        </w:rPr>
        <w:t>обеспечения госуд</w:t>
      </w:r>
      <w:r>
        <w:rPr>
          <w:rFonts w:ascii="Times New Roman" w:hAnsi="Times New Roman" w:cs="Times New Roman"/>
          <w:sz w:val="28"/>
          <w:szCs w:val="28"/>
        </w:rPr>
        <w:t>арственных и муниципальных нужд» позволила сэкономить 8,9 млн. рублей средств бюджета при проведении конкурентных закупочных процедур.</w:t>
      </w:r>
    </w:p>
    <w:p w14:paraId="6CA5A690" w14:textId="77777777" w:rsidR="00933888" w:rsidRPr="00B46F82" w:rsidRDefault="00933888" w:rsidP="00B46F82">
      <w:pPr>
        <w:pStyle w:val="ad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8A59E8B" w14:textId="77777777" w:rsidR="00950CC5" w:rsidRPr="00B46F82" w:rsidRDefault="00950CC5" w:rsidP="00B46F82">
      <w:pPr>
        <w:pStyle w:val="ad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B46F82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Общие сведения о муниципальном долге и его структура представлены в таблице:</w:t>
      </w:r>
    </w:p>
    <w:p w14:paraId="04C02C51" w14:textId="6091281C" w:rsidR="00950CC5" w:rsidRPr="00950CC5" w:rsidRDefault="006B12CC" w:rsidP="00950CC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50CC5" w:rsidRPr="00950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950CC5" w:rsidRPr="00950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</w:t>
      </w:r>
      <w:proofErr w:type="spellEnd"/>
      <w:r w:rsidR="00950CC5" w:rsidRPr="00950CC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tbl>
      <w:tblPr>
        <w:tblW w:w="1020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44"/>
        <w:gridCol w:w="1276"/>
        <w:gridCol w:w="1275"/>
        <w:gridCol w:w="1276"/>
        <w:gridCol w:w="1417"/>
        <w:gridCol w:w="1418"/>
      </w:tblGrid>
      <w:tr w:rsidR="00AF5FC2" w:rsidRPr="00AF5FC2" w14:paraId="5F220563" w14:textId="77777777" w:rsidTr="00AF5FC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E4CE5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D711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 01.01.2021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F73E7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 01.01.2022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3EC1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 01.01.2023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6D9F" w14:textId="7CAF3FB0" w:rsid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</w:t>
            </w:r>
            <w:r w:rsidRPr="00AF5F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</w:p>
          <w:p w14:paraId="054A6A27" w14:textId="74D31DD6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01.01.2024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3C78" w14:textId="07A24AAA" w:rsid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</w:t>
            </w:r>
            <w:r w:rsidRPr="00AF5F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</w:p>
          <w:p w14:paraId="12D70D32" w14:textId="07D1D706" w:rsidR="00AF5FC2" w:rsidRPr="00AF5FC2" w:rsidRDefault="00305A0C" w:rsidP="00923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01.01</w:t>
            </w:r>
            <w:r w:rsidR="00AF5FC2" w:rsidRPr="00AF5F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.202</w:t>
            </w:r>
            <w:r w:rsidR="009233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 w:rsidR="00AF5FC2" w:rsidRPr="00AF5FC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AF5FC2" w:rsidRPr="00AF5FC2" w14:paraId="61FD2E68" w14:textId="77777777" w:rsidTr="00AF5FC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59915" w14:textId="77777777" w:rsidR="00AF5FC2" w:rsidRPr="00AF5FC2" w:rsidRDefault="00AF5FC2" w:rsidP="00AF5F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Объем муниципального долга муниципального образования, тыс. руб., 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E869C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EC930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93152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EC6E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C2967" w14:textId="44A27A63" w:rsidR="00AF5FC2" w:rsidRPr="00AF5FC2" w:rsidRDefault="00AF5FC2" w:rsidP="00923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923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800</w:t>
            </w:r>
          </w:p>
        </w:tc>
      </w:tr>
      <w:tr w:rsidR="00AF5FC2" w:rsidRPr="00AF5FC2" w14:paraId="4E1AB0AA" w14:textId="77777777" w:rsidTr="00AF5FC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A2B64" w14:textId="77777777" w:rsidR="00AF5FC2" w:rsidRPr="00AF5FC2" w:rsidRDefault="00AF5FC2" w:rsidP="00AF5F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организаций, 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F6C79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534B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4F52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C5EB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AD01" w14:textId="6B9087C2" w:rsidR="00AF5FC2" w:rsidRPr="00AF5FC2" w:rsidRDefault="00AF5FC2" w:rsidP="009233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233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800</w:t>
            </w:r>
          </w:p>
        </w:tc>
      </w:tr>
      <w:tr w:rsidR="00AF5FC2" w:rsidRPr="00AF5FC2" w14:paraId="177B97B5" w14:textId="77777777" w:rsidTr="00AF5FC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85786" w14:textId="77777777" w:rsidR="00AF5FC2" w:rsidRPr="00AF5FC2" w:rsidRDefault="00AF5FC2" w:rsidP="00AF5F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Федерации, </w:t>
            </w:r>
            <w:proofErr w:type="spellStart"/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2B3DB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9BEB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6B87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ECC4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E30F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</w:t>
            </w:r>
          </w:p>
        </w:tc>
      </w:tr>
      <w:tr w:rsidR="00AF5FC2" w:rsidRPr="00AF5FC2" w14:paraId="6EA9B8DC" w14:textId="77777777" w:rsidTr="00AF5FC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7CBC0" w14:textId="77777777" w:rsidR="00AF5FC2" w:rsidRPr="00AF5FC2" w:rsidRDefault="00AF5FC2" w:rsidP="00AF5F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роста муниципального долга муниципального образования по отношению к уровню предыдущего года,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06C27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-0,02 %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E11E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-1,11 %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62AA5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C140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8EC3" w14:textId="18129B9D" w:rsidR="00AF5FC2" w:rsidRPr="00AF5FC2" w:rsidRDefault="0092336B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AF5FC2"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AF5FC2" w:rsidRPr="00AF5FC2" w14:paraId="4FD13C4C" w14:textId="77777777" w:rsidTr="00AF5FC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5D0F4" w14:textId="77777777" w:rsidR="00AF5FC2" w:rsidRPr="00AF5FC2" w:rsidRDefault="00AF5FC2" w:rsidP="00AF5F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Отношение объема муниципального долга муниципального образования к объему налоговых и неналоговых доходов,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DCBE0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22,1 %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22CD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ACCD8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410D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14,3 %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849D" w14:textId="366874A7" w:rsidR="00AF5FC2" w:rsidRPr="00AF5FC2" w:rsidRDefault="0092336B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12,2</w:t>
            </w:r>
            <w:r w:rsidR="00AF5FC2"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AF5FC2" w:rsidRPr="00AF5FC2" w14:paraId="2337B501" w14:textId="77777777" w:rsidTr="00AF5FC2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1178" w14:textId="77777777" w:rsidR="00AF5FC2" w:rsidRPr="00AF5FC2" w:rsidRDefault="00AF5FC2" w:rsidP="00AF5F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обслуживание муниципального долга, </w:t>
            </w:r>
            <w:proofErr w:type="spellStart"/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</w:t>
            </w:r>
            <w:proofErr w:type="spellEnd"/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E49C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C2178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CC88C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1 329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4F11" w14:textId="77777777" w:rsidR="00AF5FC2" w:rsidRPr="00AF5FC2" w:rsidRDefault="00AF5FC2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5F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41F75" w14:textId="2CAC472A" w:rsidR="00AF5FC2" w:rsidRPr="00AF5FC2" w:rsidRDefault="00305A0C" w:rsidP="00AF5F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1 222,3</w:t>
            </w:r>
          </w:p>
        </w:tc>
      </w:tr>
    </w:tbl>
    <w:p w14:paraId="6BA19B38" w14:textId="77777777" w:rsidR="00950CC5" w:rsidRDefault="00950CC5" w:rsidP="002B6CF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68007B" w14:textId="78AFED86" w:rsidR="00AF5FC2" w:rsidRDefault="00AF5FC2" w:rsidP="00AF5FC2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5FC2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период с 2019 по 2021 годы года наблюдается снижение, а в 2022 и 202</w:t>
      </w:r>
      <w:r w:rsidR="0092336B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AF5F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годах  не увеличение, объема муниципального долга. В период с 2019 по 2021 годы наблюдалась тенденция снижения объема муниципального долга по бюджетным кредитам и увеличения объема долга по кредитам кредитных организаций. На 01.01.2022 года объем муниципального долга по бюджетным кредитам равен нулю.  По состоянию на 01.01.2019 года доля коммерческих кредитов в общей структуре муниципального долга составляла 19,3 процента, на 01.01.2020 года – 52,5 процента, на 01.01.2021 года – 84,1 процента, по состоянию на 01.01.2022 года достигла размера 100  процентов. На 01.01.2024 года доля коммерческих кредитов в общем объеме муниципального долга составляла 40,3 процента и снизилась на 59,7 процента к 2021 году.</w:t>
      </w:r>
    </w:p>
    <w:p w14:paraId="79D2D7BD" w14:textId="77777777" w:rsidR="00AF5FC2" w:rsidRPr="00AF5FC2" w:rsidRDefault="00AF5FC2" w:rsidP="00AF5FC2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5FC2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со статьей 107.1 Бюджетного кодекса Российской Федерации Министерством финансов Республики Карелия ежегодно осуществляется оценка долговой устойчивости муниципальных образований Республики Карелия в порядке, установленном постановлением Правительства Республики Карелия от 11.06.2020 № 286-П.</w:t>
      </w:r>
    </w:p>
    <w:p w14:paraId="28AB6240" w14:textId="77777777" w:rsidR="00AF5FC2" w:rsidRPr="00AF5FC2" w:rsidRDefault="00AF5FC2" w:rsidP="00AF5FC2">
      <w:pPr>
        <w:spacing w:after="1" w:line="280" w:lineRule="atLeast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F5F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результатам проведения оценки долговой устойчивости Лахденпохский муниципальный район относится к группе муниципальных образований с высоким уровнем долговой устойчивости. </w:t>
      </w:r>
    </w:p>
    <w:p w14:paraId="782AFD55" w14:textId="5FC13AF1" w:rsidR="00950CC5" w:rsidRDefault="00EB354F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6F82">
        <w:rPr>
          <w:rFonts w:ascii="Times New Roman" w:hAnsi="Times New Roman" w:cs="Times New Roman"/>
          <w:sz w:val="28"/>
          <w:szCs w:val="28"/>
          <w:lang w:eastAsia="ru-RU"/>
        </w:rPr>
        <w:t>Условия привлечения новых заимствований будут устанавливаться исходя из з</w:t>
      </w:r>
      <w:r w:rsidR="006601EE" w:rsidRPr="00B46F82">
        <w:rPr>
          <w:rFonts w:ascii="Times New Roman" w:hAnsi="Times New Roman" w:cs="Times New Roman"/>
          <w:sz w:val="28"/>
          <w:szCs w:val="28"/>
          <w:lang w:eastAsia="ru-RU"/>
        </w:rPr>
        <w:t xml:space="preserve">адачи минимизации их стоимости </w:t>
      </w:r>
      <w:r w:rsidRPr="00B46F82">
        <w:rPr>
          <w:rFonts w:ascii="Times New Roman" w:hAnsi="Times New Roman" w:cs="Times New Roman"/>
          <w:sz w:val="28"/>
          <w:szCs w:val="28"/>
          <w:lang w:eastAsia="ru-RU"/>
        </w:rPr>
        <w:t xml:space="preserve">и исполнения графика </w:t>
      </w:r>
      <w:proofErr w:type="gramStart"/>
      <w:r w:rsidRPr="00B46F82">
        <w:rPr>
          <w:rFonts w:ascii="Times New Roman" w:hAnsi="Times New Roman" w:cs="Times New Roman"/>
          <w:sz w:val="28"/>
          <w:szCs w:val="28"/>
          <w:lang w:eastAsia="ru-RU"/>
        </w:rPr>
        <w:t>погашения</w:t>
      </w:r>
      <w:proofErr w:type="gramEnd"/>
      <w:r w:rsidRPr="00B46F82">
        <w:rPr>
          <w:rFonts w:ascii="Times New Roman" w:hAnsi="Times New Roman" w:cs="Times New Roman"/>
          <w:sz w:val="28"/>
          <w:szCs w:val="28"/>
          <w:lang w:eastAsia="ru-RU"/>
        </w:rPr>
        <w:t xml:space="preserve"> действующих долговых обязательств, а также с учетом текущего состояния индикаторов финансовых рынков.</w:t>
      </w:r>
    </w:p>
    <w:p w14:paraId="1E85AADD" w14:textId="6A9146BF" w:rsidR="00950CC5" w:rsidRDefault="00CA50AE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6F8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Требования Бюджетного кодекса Российской Федерации в части соблюдения предельного объема муниципального долга, расходов на его обслуживание и другие параметры кредитоспособности Администрацией Лахденпохского муниципального района соблюдены.</w:t>
      </w:r>
    </w:p>
    <w:p w14:paraId="1CE4ACE4" w14:textId="3E31C50D" w:rsidR="00781C8D" w:rsidRDefault="00781C8D" w:rsidP="00781C8D">
      <w:pPr>
        <w:pStyle w:val="ad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781C8D">
        <w:rPr>
          <w:rFonts w:ascii="Times New Roman" w:hAnsi="Times New Roman" w:cs="Times New Roman"/>
          <w:bCs/>
          <w:sz w:val="28"/>
          <w:szCs w:val="28"/>
          <w:lang w:eastAsia="ru-RU"/>
        </w:rPr>
        <w:t>Реализация мероприятий, предусмотренных Прог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раммой</w:t>
      </w:r>
      <w:r w:rsidR="005D5CC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оздоровления муниципальных финансов Лахденпохского муниципального района на период до 2024 года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 позволило достичь в 202</w:t>
      </w:r>
      <w:r w:rsidR="00305A0C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Pr="00781C8D">
        <w:rPr>
          <w:rFonts w:ascii="Times New Roman" w:hAnsi="Times New Roman" w:cs="Times New Roman"/>
          <w:bCs/>
          <w:sz w:val="28"/>
          <w:szCs w:val="28"/>
          <w:lang w:eastAsia="ru-RU"/>
        </w:rPr>
        <w:t>-20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 w:rsidR="00305A0C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Pr="00781C8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годах следующего бюджетного эффекта:</w:t>
      </w:r>
    </w:p>
    <w:p w14:paraId="2641BAB8" w14:textId="38D0454F" w:rsidR="00781C8D" w:rsidRDefault="00781C8D" w:rsidP="00781C8D">
      <w:pPr>
        <w:pStyle w:val="ad"/>
        <w:ind w:firstLine="709"/>
        <w:jc w:val="right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тыс. рублей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9"/>
        <w:gridCol w:w="1559"/>
        <w:gridCol w:w="1559"/>
        <w:gridCol w:w="1701"/>
      </w:tblGrid>
      <w:tr w:rsidR="00781C8D" w:rsidRPr="00781C8D" w14:paraId="1857F626" w14:textId="77777777" w:rsidTr="00781C8D">
        <w:tc>
          <w:tcPr>
            <w:tcW w:w="5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20EBE" w14:textId="3AF00D79" w:rsidR="00781C8D" w:rsidRPr="00781C8D" w:rsidRDefault="00781C8D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81C8D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C69E9" w14:textId="77777777" w:rsidR="00781C8D" w:rsidRPr="00781C8D" w:rsidRDefault="00781C8D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1C8D">
              <w:rPr>
                <w:rFonts w:ascii="Times New Roman" w:hAnsi="Times New Roman" w:cs="Times New Roman"/>
                <w:sz w:val="24"/>
                <w:szCs w:val="24"/>
              </w:rPr>
              <w:t>Бюджетный эффект от реализации мероприятий Программы</w:t>
            </w:r>
          </w:p>
        </w:tc>
      </w:tr>
      <w:tr w:rsidR="00305A0C" w:rsidRPr="00781C8D" w14:paraId="71B82446" w14:textId="77777777" w:rsidTr="00781C8D">
        <w:tc>
          <w:tcPr>
            <w:tcW w:w="5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AD5DE" w14:textId="77777777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52C1" w14:textId="2EDD89E1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781C8D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9D4A" w14:textId="03FF41C0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781C8D">
              <w:rPr>
                <w:rFonts w:ascii="Times New Roman" w:hAnsi="Times New Roman" w:cs="Times New Roman"/>
                <w:sz w:val="24"/>
                <w:szCs w:val="24"/>
              </w:rPr>
              <w:t xml:space="preserve"> год (факт)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1BD32" w14:textId="77777777" w:rsidR="00305A0C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  <w:p w14:paraId="4CB909C2" w14:textId="095D3C88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</w:tr>
      <w:tr w:rsidR="00305A0C" w:rsidRPr="00781C8D" w14:paraId="49A59F46" w14:textId="77777777" w:rsidTr="00781C8D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989A" w14:textId="14741430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C8D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доходной части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1980" w14:textId="382FCD79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3">
              <w:rPr>
                <w:rFonts w:ascii="Times New Roman" w:hAnsi="Times New Roman" w:cs="Times New Roman"/>
                <w:sz w:val="24"/>
                <w:szCs w:val="24"/>
              </w:rPr>
              <w:t>21 420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F6E7" w14:textId="1CEA7433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3">
              <w:rPr>
                <w:rFonts w:ascii="Times New Roman" w:hAnsi="Times New Roman" w:cs="Times New Roman"/>
                <w:sz w:val="24"/>
                <w:szCs w:val="24"/>
              </w:rPr>
              <w:t>6 788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C69E" w14:textId="536E86FA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5 396</w:t>
            </w:r>
          </w:p>
        </w:tc>
      </w:tr>
      <w:tr w:rsidR="00305A0C" w:rsidRPr="00781C8D" w14:paraId="6230E8FD" w14:textId="77777777" w:rsidTr="00781C8D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0E47" w14:textId="11F776FA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C8D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бюджета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AF6F" w14:textId="50258DEB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3">
              <w:rPr>
                <w:rFonts w:ascii="Times New Roman" w:hAnsi="Times New Roman" w:cs="Times New Roman"/>
                <w:sz w:val="24"/>
                <w:szCs w:val="24"/>
              </w:rPr>
              <w:t>3 685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EF8B" w14:textId="4BC261F6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3">
              <w:rPr>
                <w:rFonts w:ascii="Times New Roman" w:hAnsi="Times New Roman" w:cs="Times New Roman"/>
                <w:sz w:val="24"/>
                <w:szCs w:val="24"/>
              </w:rPr>
              <w:t>6 109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8681" w14:textId="523D18E2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</w:t>
            </w:r>
          </w:p>
        </w:tc>
      </w:tr>
      <w:tr w:rsidR="00305A0C" w:rsidRPr="00781C8D" w14:paraId="3E87544D" w14:textId="77777777" w:rsidTr="00781C8D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21DB" w14:textId="77777777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C8D">
              <w:rPr>
                <w:rFonts w:ascii="Times New Roman" w:hAnsi="Times New Roman" w:cs="Times New Roman"/>
                <w:sz w:val="24"/>
                <w:szCs w:val="24"/>
              </w:rPr>
              <w:t>Сокращение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9045" w14:textId="3BA5CE9D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3">
              <w:rPr>
                <w:rFonts w:ascii="Times New Roman" w:hAnsi="Times New Roman" w:cs="Times New Roman"/>
                <w:sz w:val="24"/>
                <w:szCs w:val="24"/>
              </w:rPr>
              <w:t>751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D8C5E" w14:textId="62F42F14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3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E22C" w14:textId="0CF07DCE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1 556</w:t>
            </w:r>
          </w:p>
        </w:tc>
      </w:tr>
      <w:tr w:rsidR="00305A0C" w:rsidRPr="00781C8D" w14:paraId="4C75DFEC" w14:textId="77777777" w:rsidTr="00781C8D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9EF28" w14:textId="77777777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1C8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B290" w14:textId="589BFE1E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3">
              <w:rPr>
                <w:rFonts w:ascii="Times New Roman" w:hAnsi="Times New Roman" w:cs="Times New Roman"/>
                <w:sz w:val="24"/>
                <w:szCs w:val="24"/>
              </w:rPr>
              <w:t>25 856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20C6" w14:textId="7370B8E2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4E3">
              <w:rPr>
                <w:rFonts w:ascii="Times New Roman" w:hAnsi="Times New Roman" w:cs="Times New Roman"/>
                <w:sz w:val="24"/>
                <w:szCs w:val="24"/>
              </w:rPr>
              <w:t>13 027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F2F7" w14:textId="58E7E5FA" w:rsidR="00305A0C" w:rsidRPr="00781C8D" w:rsidRDefault="00305A0C" w:rsidP="00781C8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8 754</w:t>
            </w:r>
          </w:p>
        </w:tc>
      </w:tr>
    </w:tbl>
    <w:p w14:paraId="7DC01C42" w14:textId="77777777" w:rsidR="00781C8D" w:rsidRPr="00781C8D" w:rsidRDefault="00781C8D" w:rsidP="00781C8D">
      <w:pPr>
        <w:pStyle w:val="ad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405DD14C" w14:textId="58914A1C" w:rsidR="009D142C" w:rsidRDefault="009D142C" w:rsidP="00C9088C">
      <w:pPr>
        <w:pStyle w:val="ad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6F82">
        <w:rPr>
          <w:rFonts w:ascii="Times New Roman" w:hAnsi="Times New Roman" w:cs="Times New Roman"/>
          <w:b/>
          <w:bCs/>
          <w:sz w:val="28"/>
          <w:szCs w:val="28"/>
        </w:rPr>
        <w:t>II. Цели и задачи Программы</w:t>
      </w:r>
    </w:p>
    <w:p w14:paraId="1657D33A" w14:textId="77777777" w:rsidR="00C9088C" w:rsidRPr="00B46F82" w:rsidRDefault="00C9088C" w:rsidP="00B46F82">
      <w:pPr>
        <w:pStyle w:val="ad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26A074F" w14:textId="11E980C2" w:rsidR="009D142C" w:rsidRPr="00B46F82" w:rsidRDefault="009D142C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Целью Программы является обеспечение</w:t>
      </w:r>
      <w:r w:rsidR="00E11C24" w:rsidRPr="00B46F82">
        <w:rPr>
          <w:rFonts w:ascii="Times New Roman" w:hAnsi="Times New Roman" w:cs="Times New Roman"/>
          <w:sz w:val="28"/>
          <w:szCs w:val="28"/>
        </w:rPr>
        <w:t xml:space="preserve"> долгосрочной устойчивости и</w:t>
      </w:r>
      <w:r w:rsidRPr="00B46F82">
        <w:rPr>
          <w:rFonts w:ascii="Times New Roman" w:hAnsi="Times New Roman" w:cs="Times New Roman"/>
          <w:sz w:val="28"/>
          <w:szCs w:val="28"/>
        </w:rPr>
        <w:t xml:space="preserve"> сбалансированности консолидированного бюджета Лахденпохского муниципального района при безусловном и своевременном исполнении принятых в установленном порядке расходных обязательств.</w:t>
      </w:r>
    </w:p>
    <w:p w14:paraId="45300F22" w14:textId="6D6DA544" w:rsidR="009D142C" w:rsidRPr="00B46F82" w:rsidRDefault="009D142C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На достижение поставленной цели направлены следующие задачи Программы:</w:t>
      </w:r>
    </w:p>
    <w:p w14:paraId="5FC170F4" w14:textId="55E5FDD0" w:rsidR="009D142C" w:rsidRPr="00B46F82" w:rsidRDefault="009D142C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1) обеспечение роста поступлений налоговых и неналоговых доходов в консолидированный бюджет Лахденпохского муниципального района;</w:t>
      </w:r>
    </w:p>
    <w:p w14:paraId="1B17262C" w14:textId="51C2B3E7" w:rsidR="009D142C" w:rsidRPr="00B46F82" w:rsidRDefault="009D142C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2) повышение эффективности</w:t>
      </w:r>
      <w:r w:rsidR="00E11C24" w:rsidRPr="00B46F82">
        <w:rPr>
          <w:rFonts w:ascii="Times New Roman" w:hAnsi="Times New Roman" w:cs="Times New Roman"/>
          <w:sz w:val="28"/>
          <w:szCs w:val="28"/>
        </w:rPr>
        <w:t xml:space="preserve"> и результативности</w:t>
      </w:r>
      <w:r w:rsidRPr="00B46F82">
        <w:rPr>
          <w:rFonts w:ascii="Times New Roman" w:hAnsi="Times New Roman" w:cs="Times New Roman"/>
          <w:sz w:val="28"/>
          <w:szCs w:val="28"/>
        </w:rPr>
        <w:t xml:space="preserve"> расходов консолидированного бюджета Лахденпохского муниципального района;</w:t>
      </w:r>
    </w:p>
    <w:p w14:paraId="426B075E" w14:textId="4AEB29A3" w:rsidR="00596A4B" w:rsidRDefault="00E11C24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3) обеспечение долговой устойчивости посредством проведения эффективной долговой политики.</w:t>
      </w:r>
    </w:p>
    <w:p w14:paraId="5B0AC1CD" w14:textId="77777777" w:rsidR="00B46F82" w:rsidRDefault="00B46F82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69A1F5" w14:textId="4ABFE6EA" w:rsidR="0035492C" w:rsidRDefault="0035492C" w:rsidP="00B46F82">
      <w:pPr>
        <w:pStyle w:val="ad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46F82">
        <w:rPr>
          <w:rFonts w:ascii="Times New Roman" w:hAnsi="Times New Roman" w:cs="Times New Roman"/>
          <w:b/>
          <w:bCs/>
          <w:sz w:val="28"/>
          <w:szCs w:val="28"/>
        </w:rPr>
        <w:t>III. Механизм реализации Программы, способы оценки достижения целевых показателей, ожидаемые результаты и возможные риски</w:t>
      </w:r>
    </w:p>
    <w:p w14:paraId="46B9B65B" w14:textId="77777777" w:rsidR="00B46F82" w:rsidRPr="00B46F82" w:rsidRDefault="00B46F82" w:rsidP="00B46F82">
      <w:pPr>
        <w:pStyle w:val="ad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4329582" w14:textId="644F908A" w:rsidR="00D40DD8" w:rsidRPr="00B46F82" w:rsidRDefault="00D40DD8" w:rsidP="00B46F82">
      <w:pPr>
        <w:pStyle w:val="ad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F82">
        <w:rPr>
          <w:rFonts w:ascii="Times New Roman" w:hAnsi="Times New Roman" w:cs="Times New Roman"/>
          <w:bCs/>
          <w:sz w:val="28"/>
          <w:szCs w:val="28"/>
        </w:rPr>
        <w:t>Руководство реализацией Программы, а также ее координаци</w:t>
      </w:r>
      <w:r w:rsidR="00091046">
        <w:rPr>
          <w:rFonts w:ascii="Times New Roman" w:hAnsi="Times New Roman" w:cs="Times New Roman"/>
          <w:bCs/>
          <w:sz w:val="28"/>
          <w:szCs w:val="28"/>
        </w:rPr>
        <w:t>ю осуществляет Глава</w:t>
      </w:r>
      <w:r w:rsidRPr="00B46F82">
        <w:rPr>
          <w:rFonts w:ascii="Times New Roman" w:hAnsi="Times New Roman" w:cs="Times New Roman"/>
          <w:bCs/>
          <w:sz w:val="28"/>
          <w:szCs w:val="28"/>
        </w:rPr>
        <w:t xml:space="preserve"> Администрации Лахденпохского муниципального района.</w:t>
      </w:r>
    </w:p>
    <w:p w14:paraId="539E8174" w14:textId="647272EC" w:rsidR="00D40DD8" w:rsidRPr="00B46F82" w:rsidRDefault="00D40DD8" w:rsidP="00B46F82">
      <w:pPr>
        <w:pStyle w:val="ad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6F82">
        <w:rPr>
          <w:rFonts w:ascii="Times New Roman" w:hAnsi="Times New Roman" w:cs="Times New Roman"/>
          <w:bCs/>
          <w:sz w:val="28"/>
          <w:szCs w:val="28"/>
        </w:rPr>
        <w:t xml:space="preserve">Финансовое управление Администрации </w:t>
      </w:r>
      <w:bookmarkStart w:id="3" w:name="_Hlk36648226"/>
      <w:r w:rsidRPr="00B46F82">
        <w:rPr>
          <w:rFonts w:ascii="Times New Roman" w:hAnsi="Times New Roman" w:cs="Times New Roman"/>
          <w:bCs/>
          <w:sz w:val="28"/>
          <w:szCs w:val="28"/>
        </w:rPr>
        <w:t>Лахденпохского муниципального района</w:t>
      </w:r>
      <w:bookmarkEnd w:id="3"/>
      <w:r w:rsidRPr="00B46F82">
        <w:rPr>
          <w:rFonts w:ascii="Times New Roman" w:hAnsi="Times New Roman" w:cs="Times New Roman"/>
          <w:bCs/>
          <w:sz w:val="28"/>
          <w:szCs w:val="28"/>
        </w:rPr>
        <w:t xml:space="preserve"> (далее – финансовое управление) осуществляет непосредственный </w:t>
      </w:r>
      <w:proofErr w:type="gramStart"/>
      <w:r w:rsidRPr="00B46F82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B46F82">
        <w:rPr>
          <w:rFonts w:ascii="Times New Roman" w:hAnsi="Times New Roman" w:cs="Times New Roman"/>
          <w:bCs/>
          <w:sz w:val="28"/>
          <w:szCs w:val="28"/>
        </w:rPr>
        <w:t xml:space="preserve"> реализацией Программы.</w:t>
      </w:r>
    </w:p>
    <w:p w14:paraId="02D92845" w14:textId="7D7A29B7" w:rsidR="00D40DD8" w:rsidRPr="00B43F41" w:rsidRDefault="00D40DD8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 xml:space="preserve">Выполнение Программы осуществляется путем реализации Плана мероприятий по оздоровлению муниципальных финансов Лахденпохского </w:t>
      </w:r>
      <w:r w:rsidRPr="00B46F82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района на </w:t>
      </w:r>
      <w:r w:rsidRPr="00B43F41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66221D" w:rsidRPr="00B43F41">
        <w:rPr>
          <w:rFonts w:ascii="Times New Roman" w:hAnsi="Times New Roman" w:cs="Times New Roman"/>
          <w:sz w:val="28"/>
          <w:szCs w:val="28"/>
        </w:rPr>
        <w:t>2025-2027 годов</w:t>
      </w:r>
      <w:r w:rsidRPr="00B43F41">
        <w:rPr>
          <w:rFonts w:ascii="Times New Roman" w:hAnsi="Times New Roman" w:cs="Times New Roman"/>
          <w:sz w:val="28"/>
          <w:szCs w:val="28"/>
        </w:rPr>
        <w:t xml:space="preserve"> (далее – План мероприятий Программы), предусмотренного </w:t>
      </w:r>
      <w:hyperlink r:id="rId14" w:history="1">
        <w:r w:rsidRPr="00B43F4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приложением № 1</w:t>
        </w:r>
      </w:hyperlink>
      <w:r w:rsidRPr="00B43F41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14:paraId="5FEA8C79" w14:textId="1C3FE6F9" w:rsidR="00D40DD8" w:rsidRPr="00B43F41" w:rsidRDefault="00D40DD8" w:rsidP="00B46F82">
      <w:pPr>
        <w:pStyle w:val="ad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F41">
        <w:rPr>
          <w:rFonts w:ascii="Times New Roman" w:hAnsi="Times New Roman" w:cs="Times New Roman"/>
          <w:bCs/>
          <w:sz w:val="28"/>
          <w:szCs w:val="28"/>
        </w:rPr>
        <w:t>Исполнителями Программы являются структурные подразделения Администрации Лахденпохского муниципального района, которые:</w:t>
      </w:r>
    </w:p>
    <w:p w14:paraId="441BDAA5" w14:textId="77777777" w:rsidR="00D40DD8" w:rsidRPr="00B43F41" w:rsidRDefault="00D40DD8" w:rsidP="00B46F82">
      <w:pPr>
        <w:pStyle w:val="ad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F41">
        <w:rPr>
          <w:rFonts w:ascii="Times New Roman" w:hAnsi="Times New Roman" w:cs="Times New Roman"/>
          <w:bCs/>
          <w:sz w:val="28"/>
          <w:szCs w:val="28"/>
        </w:rPr>
        <w:t xml:space="preserve">- обеспечивают реализацию Плана </w:t>
      </w:r>
      <w:hyperlink r:id="rId15" w:history="1">
        <w:r w:rsidRPr="00B43F41">
          <w:rPr>
            <w:rStyle w:val="a8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мероприятий</w:t>
        </w:r>
      </w:hyperlink>
      <w:r w:rsidRPr="00B43F41">
        <w:rPr>
          <w:rFonts w:ascii="Times New Roman" w:hAnsi="Times New Roman" w:cs="Times New Roman"/>
          <w:bCs/>
          <w:sz w:val="28"/>
          <w:szCs w:val="28"/>
        </w:rPr>
        <w:t xml:space="preserve"> Программы, утвержденных приложением № 1 к Программе;</w:t>
      </w:r>
    </w:p>
    <w:p w14:paraId="7B9FD0DE" w14:textId="41DFFCD8" w:rsidR="00D40DD8" w:rsidRPr="00B43F41" w:rsidRDefault="00D40DD8" w:rsidP="00B46F82">
      <w:pPr>
        <w:pStyle w:val="ad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B43F41">
        <w:rPr>
          <w:rFonts w:ascii="Times New Roman" w:hAnsi="Times New Roman" w:cs="Times New Roman"/>
          <w:bCs/>
          <w:sz w:val="28"/>
          <w:szCs w:val="28"/>
        </w:rPr>
        <w:t xml:space="preserve">- представляют ежемесячно не позднее </w:t>
      </w:r>
      <w:r w:rsidR="0066221D" w:rsidRPr="00B43F41">
        <w:rPr>
          <w:rFonts w:ascii="Times New Roman" w:hAnsi="Times New Roman" w:cs="Times New Roman"/>
          <w:bCs/>
          <w:sz w:val="28"/>
          <w:szCs w:val="28"/>
        </w:rPr>
        <w:t>7</w:t>
      </w:r>
      <w:r w:rsidRPr="00B43F41">
        <w:rPr>
          <w:rFonts w:ascii="Times New Roman" w:hAnsi="Times New Roman" w:cs="Times New Roman"/>
          <w:bCs/>
          <w:sz w:val="28"/>
          <w:szCs w:val="28"/>
        </w:rPr>
        <w:t xml:space="preserve"> числа месяца, следующего за отчетным, в финансовое управление отчет о реализации Плана мероприятий Программы с указанием информации о проводимых мероприятиях, причинах перевыполнения (неисполнения) целевых показателей, необходимых действиях со стороны ответственных исполнителей согласно приложению № 2 к Программе.</w:t>
      </w:r>
      <w:proofErr w:type="gramEnd"/>
    </w:p>
    <w:p w14:paraId="3D1CC830" w14:textId="05AD8DB8" w:rsidR="00D40DD8" w:rsidRPr="00B43F41" w:rsidRDefault="00D40DD8" w:rsidP="00B46F82">
      <w:pPr>
        <w:pStyle w:val="ad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43F41">
        <w:rPr>
          <w:rFonts w:ascii="Times New Roman" w:hAnsi="Times New Roman" w:cs="Times New Roman"/>
          <w:sz w:val="28"/>
          <w:szCs w:val="28"/>
        </w:rPr>
        <w:t xml:space="preserve">Формат таблицы </w:t>
      </w:r>
      <w:hyperlink r:id="rId16" w:history="1">
        <w:r w:rsidRPr="00B43F4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приложения № </w:t>
        </w:r>
      </w:hyperlink>
      <w:r w:rsidRPr="00B43F41">
        <w:rPr>
          <w:rFonts w:ascii="Times New Roman" w:hAnsi="Times New Roman" w:cs="Times New Roman"/>
          <w:sz w:val="28"/>
          <w:szCs w:val="28"/>
        </w:rPr>
        <w:t xml:space="preserve">2 к Программе при необходимости может быть изменен (с соблюдением структуры, в том числе строк и граф таблицы) и дополнен иными графами. В случае изменения формата таблицы </w:t>
      </w:r>
      <w:hyperlink r:id="rId17" w:history="1">
        <w:r w:rsidRPr="00B43F4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приложения № </w:t>
        </w:r>
      </w:hyperlink>
      <w:r w:rsidRPr="00B43F41">
        <w:rPr>
          <w:rFonts w:ascii="Times New Roman" w:hAnsi="Times New Roman" w:cs="Times New Roman"/>
          <w:sz w:val="28"/>
          <w:szCs w:val="28"/>
        </w:rPr>
        <w:t xml:space="preserve">2 к Программе финансовое управление доводит до структурных подразделений уточненную форму </w:t>
      </w:r>
      <w:r w:rsidRPr="00B43F41">
        <w:rPr>
          <w:rFonts w:ascii="Times New Roman" w:hAnsi="Times New Roman" w:cs="Times New Roman"/>
          <w:bCs/>
          <w:sz w:val="28"/>
          <w:szCs w:val="28"/>
        </w:rPr>
        <w:t>отчета о реализации плана мероприятий Программы.</w:t>
      </w:r>
    </w:p>
    <w:p w14:paraId="4CA7C59D" w14:textId="77777777" w:rsidR="001F08B7" w:rsidRPr="00B46F82" w:rsidRDefault="001F08B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F41">
        <w:rPr>
          <w:rFonts w:ascii="Times New Roman" w:hAnsi="Times New Roman" w:cs="Times New Roman"/>
          <w:sz w:val="28"/>
          <w:szCs w:val="28"/>
        </w:rPr>
        <w:t xml:space="preserve">Реализация Программы связана с возникновением рисков как внешнего, </w:t>
      </w:r>
      <w:r w:rsidRPr="00B46F82">
        <w:rPr>
          <w:rFonts w:ascii="Times New Roman" w:hAnsi="Times New Roman" w:cs="Times New Roman"/>
          <w:sz w:val="28"/>
          <w:szCs w:val="28"/>
        </w:rPr>
        <w:t>так и внутреннего характера.</w:t>
      </w:r>
    </w:p>
    <w:p w14:paraId="5B54EF2D" w14:textId="77777777" w:rsidR="001F08B7" w:rsidRPr="00B46F82" w:rsidRDefault="001F08B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К основным рискам реализации Программы относятся:</w:t>
      </w:r>
    </w:p>
    <w:p w14:paraId="646874B3" w14:textId="77777777" w:rsidR="001F08B7" w:rsidRPr="00B46F82" w:rsidRDefault="001F08B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1) в области доходов консолидированного бюджета Лахденпохского муниципального района:</w:t>
      </w:r>
    </w:p>
    <w:p w14:paraId="1651F1B0" w14:textId="77777777" w:rsidR="001F08B7" w:rsidRPr="00B46F82" w:rsidRDefault="001F08B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возможное изменение налогового и бюджетного законодательства в части налогообложения и нормативов зачисления налоговых и неналоговых доходов в бюджеты бюджетной системы Российской Федерации;</w:t>
      </w:r>
    </w:p>
    <w:p w14:paraId="60B1ADAD" w14:textId="77777777" w:rsidR="001F08B7" w:rsidRPr="00B46F82" w:rsidRDefault="001F08B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неисполнение налогоплательщиками налоговых обязательств или исполнение налоговых обязательств не в полном объеме;</w:t>
      </w:r>
    </w:p>
    <w:p w14:paraId="1B609D4B" w14:textId="451FC645" w:rsidR="001F08B7" w:rsidRPr="00B46F82" w:rsidRDefault="001F08B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возможное расширение перечня категорий плательщиков, являющихся получателями льгот и преференций;</w:t>
      </w:r>
    </w:p>
    <w:p w14:paraId="6F060CEC" w14:textId="3B6D5CAF" w:rsidR="001F08B7" w:rsidRPr="00B46F82" w:rsidRDefault="001F08B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рост сокрытой налоговой базы, в том числе по налогу на доходы физических лиц в связи с возможным ростом «теневой» заработной платы;</w:t>
      </w:r>
    </w:p>
    <w:p w14:paraId="647EF8BF" w14:textId="31AB447B" w:rsidR="001F08B7" w:rsidRPr="00B46F82" w:rsidRDefault="001F08B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риски, обусловленные сокращением финансовой помощи из бюджета Республики Карелия;</w:t>
      </w:r>
    </w:p>
    <w:p w14:paraId="7619A18F" w14:textId="77777777" w:rsidR="001F08B7" w:rsidRPr="00B46F82" w:rsidRDefault="001F08B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2) в области расходов консолидированного бюджета Лахденпохского муниципального района:</w:t>
      </w:r>
    </w:p>
    <w:p w14:paraId="5057D38C" w14:textId="6FCCD213" w:rsidR="001F08B7" w:rsidRPr="00B46F82" w:rsidRDefault="001F08B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риски, связанные с принятием на федеральном и республиканском уровнях решений, влияющих на увеличение расходных обязательств Лахденпохского муниципального района;</w:t>
      </w:r>
    </w:p>
    <w:p w14:paraId="1FA40BF4" w14:textId="37456740" w:rsidR="001F08B7" w:rsidRPr="00B46F82" w:rsidRDefault="001F08B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риски, вызванные инфляционным давлением на текущие расходы;</w:t>
      </w:r>
    </w:p>
    <w:p w14:paraId="545B9194" w14:textId="77777777" w:rsidR="001F08B7" w:rsidRPr="00B46F82" w:rsidRDefault="001F08B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риски, связанные с возникновением непредвиденных ситуаций форс-мажорного характера;</w:t>
      </w:r>
    </w:p>
    <w:p w14:paraId="57ECADEF" w14:textId="77777777" w:rsidR="001F08B7" w:rsidRPr="00B46F82" w:rsidRDefault="001F08B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3) в области управления муниципальным долгом:</w:t>
      </w:r>
    </w:p>
    <w:p w14:paraId="7EF3461D" w14:textId="77777777" w:rsidR="0066221D" w:rsidRPr="0066221D" w:rsidRDefault="0066221D" w:rsidP="0066221D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1D">
        <w:rPr>
          <w:rFonts w:ascii="Times New Roman" w:hAnsi="Times New Roman" w:cs="Times New Roman"/>
          <w:sz w:val="28"/>
          <w:szCs w:val="28"/>
        </w:rPr>
        <w:t xml:space="preserve">риск </w:t>
      </w:r>
      <w:proofErr w:type="spellStart"/>
      <w:r w:rsidRPr="0066221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66221D">
        <w:rPr>
          <w:rFonts w:ascii="Times New Roman" w:hAnsi="Times New Roman" w:cs="Times New Roman"/>
          <w:sz w:val="28"/>
          <w:szCs w:val="28"/>
        </w:rPr>
        <w:t xml:space="preserve"> планируемых показателей поступлению налоговых и неналоговых доходов местного бюджета - </w:t>
      </w:r>
      <w:proofErr w:type="spellStart"/>
      <w:r w:rsidRPr="0066221D">
        <w:rPr>
          <w:rFonts w:ascii="Times New Roman" w:hAnsi="Times New Roman" w:cs="Times New Roman"/>
          <w:sz w:val="28"/>
          <w:szCs w:val="28"/>
        </w:rPr>
        <w:t>недопоступление</w:t>
      </w:r>
      <w:proofErr w:type="spellEnd"/>
      <w:r w:rsidRPr="0066221D">
        <w:rPr>
          <w:rFonts w:ascii="Times New Roman" w:hAnsi="Times New Roman" w:cs="Times New Roman"/>
          <w:sz w:val="28"/>
          <w:szCs w:val="28"/>
        </w:rPr>
        <w:t xml:space="preserve"> доходов потребует поиска альтернативных источников для выполнения принятых расходных обязательств бюджета и обеспечения его сбалансированности;</w:t>
      </w:r>
    </w:p>
    <w:p w14:paraId="55D5B581" w14:textId="77777777" w:rsidR="0066221D" w:rsidRPr="0066221D" w:rsidRDefault="0066221D" w:rsidP="0066221D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1D">
        <w:rPr>
          <w:rFonts w:ascii="Times New Roman" w:hAnsi="Times New Roman" w:cs="Times New Roman"/>
          <w:sz w:val="28"/>
          <w:szCs w:val="28"/>
        </w:rPr>
        <w:lastRenderedPageBreak/>
        <w:t>- процентный риск - вероятность увеличения суммы расходов местного бюджета на обслуживание муниципального долга вследствие увеличения процентных ставок;</w:t>
      </w:r>
    </w:p>
    <w:p w14:paraId="02A0F028" w14:textId="77777777" w:rsidR="0066221D" w:rsidRPr="0066221D" w:rsidRDefault="0066221D" w:rsidP="0066221D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1D">
        <w:rPr>
          <w:rFonts w:ascii="Times New Roman" w:hAnsi="Times New Roman" w:cs="Times New Roman"/>
          <w:sz w:val="28"/>
          <w:szCs w:val="28"/>
        </w:rPr>
        <w:t xml:space="preserve"> - риск рефинансирования - вероятность потерь вследствие невыгодных условий привлечения заимствований на вынужденное рефинансирование уже имеющихся обязательств;</w:t>
      </w:r>
    </w:p>
    <w:p w14:paraId="7329DD49" w14:textId="77777777" w:rsidR="0066221D" w:rsidRPr="0066221D" w:rsidRDefault="0066221D" w:rsidP="0066221D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1D">
        <w:rPr>
          <w:rFonts w:ascii="Times New Roman" w:hAnsi="Times New Roman" w:cs="Times New Roman"/>
          <w:sz w:val="28"/>
          <w:szCs w:val="28"/>
        </w:rPr>
        <w:t xml:space="preserve"> - инфляционный риск – вероятность увеличения текущих расходов бюджета Лахденпохского муниципального района, вызванная ростом инфляции выше прогнозируемого; </w:t>
      </w:r>
    </w:p>
    <w:p w14:paraId="281B208D" w14:textId="77777777" w:rsidR="0066221D" w:rsidRDefault="0066221D" w:rsidP="0066221D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1D">
        <w:rPr>
          <w:rFonts w:ascii="Times New Roman" w:hAnsi="Times New Roman" w:cs="Times New Roman"/>
          <w:sz w:val="28"/>
          <w:szCs w:val="28"/>
        </w:rPr>
        <w:t>- риск ликвидности - отсутствие на едином счете местного бюджета необходимых сре</w:t>
      </w:r>
      <w:proofErr w:type="gramStart"/>
      <w:r w:rsidRPr="0066221D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66221D">
        <w:rPr>
          <w:rFonts w:ascii="Times New Roman" w:hAnsi="Times New Roman" w:cs="Times New Roman"/>
          <w:sz w:val="28"/>
          <w:szCs w:val="28"/>
        </w:rPr>
        <w:t>я полного исполнения расходных и долговых обязательств муниципального образования в срок.</w:t>
      </w:r>
    </w:p>
    <w:p w14:paraId="5DE49B47" w14:textId="77777777" w:rsidR="0066221D" w:rsidRPr="0066221D" w:rsidRDefault="0066221D" w:rsidP="0066221D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1D">
        <w:rPr>
          <w:rFonts w:ascii="Times New Roman" w:hAnsi="Times New Roman" w:cs="Times New Roman"/>
          <w:sz w:val="28"/>
          <w:szCs w:val="28"/>
        </w:rPr>
        <w:t>Основными мерами, принимаемыми в отношении управления рисками, связанными с реализацией долговой политики, являются:</w:t>
      </w:r>
    </w:p>
    <w:p w14:paraId="2625DA1F" w14:textId="77777777" w:rsidR="0066221D" w:rsidRPr="0066221D" w:rsidRDefault="0066221D" w:rsidP="0066221D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1D">
        <w:rPr>
          <w:rFonts w:ascii="Times New Roman" w:hAnsi="Times New Roman" w:cs="Times New Roman"/>
          <w:sz w:val="28"/>
          <w:szCs w:val="28"/>
        </w:rPr>
        <w:t xml:space="preserve"> - достоверное прогнозирование доходов местного бюджета и поступлений по источникам финансирования дефицита бюджета;</w:t>
      </w:r>
    </w:p>
    <w:p w14:paraId="152D9D3F" w14:textId="77777777" w:rsidR="0066221D" w:rsidRPr="0066221D" w:rsidRDefault="0066221D" w:rsidP="0066221D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1D">
        <w:rPr>
          <w:rFonts w:ascii="Times New Roman" w:hAnsi="Times New Roman" w:cs="Times New Roman"/>
          <w:sz w:val="28"/>
          <w:szCs w:val="28"/>
        </w:rPr>
        <w:t xml:space="preserve"> - планирование муниципальных заимствований с учетом экономических возможностей по привлечению ресурсов, текущей и ожидаемой конъюнктуры на рынке заимствований;</w:t>
      </w:r>
    </w:p>
    <w:p w14:paraId="11F64664" w14:textId="77777777" w:rsidR="0066221D" w:rsidRPr="0066221D" w:rsidRDefault="0066221D" w:rsidP="0066221D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21D">
        <w:rPr>
          <w:rFonts w:ascii="Times New Roman" w:hAnsi="Times New Roman" w:cs="Times New Roman"/>
          <w:sz w:val="28"/>
          <w:szCs w:val="28"/>
        </w:rPr>
        <w:t xml:space="preserve"> - принятие взвешенных и экономически обоснованных решений по принятию долговых обязательств. </w:t>
      </w:r>
    </w:p>
    <w:p w14:paraId="2CF2DAB1" w14:textId="7E3B10D4" w:rsidR="0035492C" w:rsidRDefault="0035492C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Планомерная и последовательная реализация мероприятий, предусмотренных Программой, позволит достичь следующих конечных результатов:</w:t>
      </w:r>
    </w:p>
    <w:p w14:paraId="605A028C" w14:textId="77777777" w:rsidR="006D1B5F" w:rsidRDefault="006D1B5F" w:rsidP="006D1B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70C0"/>
          <w:sz w:val="28"/>
          <w:szCs w:val="28"/>
        </w:rPr>
      </w:pPr>
    </w:p>
    <w:p w14:paraId="4E1CF64B" w14:textId="3D41B43F" w:rsidR="006D1B5F" w:rsidRPr="00CE7739" w:rsidRDefault="006D1B5F" w:rsidP="006D1B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E7739">
        <w:rPr>
          <w:rFonts w:ascii="Times New Roman" w:eastAsia="Calibri" w:hAnsi="Times New Roman" w:cs="Times New Roman"/>
          <w:sz w:val="28"/>
          <w:szCs w:val="28"/>
        </w:rPr>
        <w:t>Ожидаемые конечные результаты реализации Программы</w:t>
      </w:r>
    </w:p>
    <w:p w14:paraId="2FFE517D" w14:textId="77777777" w:rsidR="006D1B5F" w:rsidRPr="00CE7739" w:rsidRDefault="006D1B5F" w:rsidP="006D1B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06" w:type="dxa"/>
        <w:jc w:val="center"/>
        <w:tblInd w:w="-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31"/>
        <w:gridCol w:w="1498"/>
        <w:gridCol w:w="1418"/>
        <w:gridCol w:w="1559"/>
      </w:tblGrid>
      <w:tr w:rsidR="00CE7739" w:rsidRPr="00CE7739" w14:paraId="76624799" w14:textId="77777777" w:rsidTr="0066221D">
        <w:trPr>
          <w:trHeight w:val="1038"/>
          <w:tblHeader/>
          <w:jc w:val="center"/>
        </w:trPr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8EE51" w14:textId="77777777" w:rsidR="0066221D" w:rsidRPr="00CE7739" w:rsidRDefault="0066221D" w:rsidP="006D1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Ожидаемый конечный результат реализации Программы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B8554" w14:textId="77777777" w:rsidR="0066221D" w:rsidRPr="00CE7739" w:rsidRDefault="0066221D" w:rsidP="006D1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</w:p>
          <w:p w14:paraId="5AA68A35" w14:textId="341CB9EB" w:rsidR="0066221D" w:rsidRPr="00CE7739" w:rsidRDefault="0066221D" w:rsidP="0066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2026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0F0EB" w14:textId="77777777" w:rsidR="0066221D" w:rsidRPr="00CE7739" w:rsidRDefault="0066221D" w:rsidP="006D1B5F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</w:p>
          <w:p w14:paraId="1EF733CD" w14:textId="41AC9463" w:rsidR="0066221D" w:rsidRPr="00CE7739" w:rsidRDefault="0066221D" w:rsidP="0066221D">
            <w:pPr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2027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AFD71" w14:textId="77777777" w:rsidR="0066221D" w:rsidRPr="00CE7739" w:rsidRDefault="0066221D" w:rsidP="006D1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</w:t>
            </w:r>
          </w:p>
          <w:p w14:paraId="4B2993D8" w14:textId="76E14D08" w:rsidR="0066221D" w:rsidRPr="00CE7739" w:rsidRDefault="0066221D" w:rsidP="006622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января 2028 года</w:t>
            </w:r>
          </w:p>
        </w:tc>
      </w:tr>
      <w:tr w:rsidR="00CE7739" w:rsidRPr="00CE7739" w14:paraId="05168AF9" w14:textId="77777777" w:rsidTr="00CE7739">
        <w:trPr>
          <w:trHeight w:val="1010"/>
          <w:jc w:val="center"/>
        </w:trPr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1A9A6" w14:textId="77777777" w:rsidR="0066221D" w:rsidRPr="00CE7739" w:rsidRDefault="0066221D" w:rsidP="006D1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Динамика налоговых и неналоговых доходов консолидированного бюджета Лахденпохского муниципального района, % к уровню предыдущего года (в сопоставимых условиях).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0075" w14:textId="12B3E4B6" w:rsidR="0066221D" w:rsidRPr="00CE7739" w:rsidRDefault="0066221D" w:rsidP="00CE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 </w:t>
            </w:r>
            <w:r w:rsidR="00CE7739"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  <w:r w:rsidR="008C59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0795" w14:textId="45FA2F1C" w:rsidR="0066221D" w:rsidRPr="00CE7739" w:rsidRDefault="0066221D" w:rsidP="00CE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менее </w:t>
            </w:r>
            <w:r w:rsidR="00CE7739"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430C3" w14:textId="19B7DA62" w:rsidR="0066221D" w:rsidRPr="00CE7739" w:rsidRDefault="0066221D" w:rsidP="00CE77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</w:t>
            </w:r>
            <w:r w:rsidR="00CE7739"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CE7739" w:rsidRPr="00CE7739" w14:paraId="500CC035" w14:textId="77777777" w:rsidTr="00CE7739">
        <w:trPr>
          <w:jc w:val="center"/>
        </w:trPr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1EAA" w14:textId="4E98E8CB" w:rsidR="0066221D" w:rsidRPr="00CE7739" w:rsidRDefault="0066221D" w:rsidP="006D1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просроченной кредиторской задолженности по сравнению с уровнем предыдущего года, %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94D9B" w14:textId="21D4F614" w:rsidR="0066221D" w:rsidRPr="00CE7739" w:rsidRDefault="0066221D" w:rsidP="00CE773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4889C" w14:textId="161F344C" w:rsidR="0066221D" w:rsidRPr="00CE7739" w:rsidRDefault="0066221D" w:rsidP="00CE773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B7673" w14:textId="3D5187CF" w:rsidR="0066221D" w:rsidRPr="00CE7739" w:rsidRDefault="0066221D" w:rsidP="00CE773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E7739" w:rsidRPr="00CE7739" w14:paraId="5FF311B7" w14:textId="77777777" w:rsidTr="0066221D">
        <w:trPr>
          <w:jc w:val="center"/>
        </w:trPr>
        <w:tc>
          <w:tcPr>
            <w:tcW w:w="5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6A459" w14:textId="77777777" w:rsidR="0066221D" w:rsidRPr="00CE7739" w:rsidRDefault="0066221D" w:rsidP="006D1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муниципального долга к сумме доходов бюджета Лахденпохского муниципального района без учета безвозмездных поступлений, %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B9DD0" w14:textId="20A99176" w:rsidR="0066221D" w:rsidRPr="00CE7739" w:rsidRDefault="0066221D" w:rsidP="00CE773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≤  </w:t>
            </w:r>
            <w:r w:rsidR="00C54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1DFDF" w14:textId="739F4E9C" w:rsidR="0066221D" w:rsidRPr="00CE7739" w:rsidRDefault="0066221D" w:rsidP="00C54EA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≤ </w:t>
            </w:r>
            <w:r w:rsidR="00C54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4766" w14:textId="732A4E4F" w:rsidR="0066221D" w:rsidRPr="00CE7739" w:rsidRDefault="0066221D" w:rsidP="00C54EAB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≤ </w:t>
            </w:r>
            <w:r w:rsidR="00CE7739" w:rsidRPr="00CE773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C54E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0AFB8156" w14:textId="77777777" w:rsidR="006D1B5F" w:rsidRPr="00CE7739" w:rsidRDefault="006D1B5F" w:rsidP="006D1B5F">
      <w:pPr>
        <w:rPr>
          <w:rFonts w:ascii="Calibri" w:eastAsia="Calibri" w:hAnsi="Calibri" w:cs="Times New Roman"/>
        </w:rPr>
      </w:pPr>
    </w:p>
    <w:p w14:paraId="7E68A21B" w14:textId="77777777" w:rsidR="00D56E88" w:rsidRPr="00CE7739" w:rsidRDefault="00D56E88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739">
        <w:rPr>
          <w:rFonts w:ascii="Times New Roman" w:hAnsi="Times New Roman" w:cs="Times New Roman"/>
          <w:sz w:val="28"/>
          <w:szCs w:val="28"/>
        </w:rPr>
        <w:t>Реализация мероприятий, предусмотренных Программой, позволит достичь следующего бюджетного эффекта:</w:t>
      </w:r>
    </w:p>
    <w:p w14:paraId="7C06BDBD" w14:textId="77777777" w:rsidR="00B46F82" w:rsidRDefault="00B46F82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FFA6D3" w14:textId="77777777" w:rsidR="00C70426" w:rsidRDefault="00C70426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AFD673" w14:textId="77777777" w:rsidR="00C70426" w:rsidRPr="00CE7739" w:rsidRDefault="00C70426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91968E" w14:textId="77777777" w:rsidR="006D1B5F" w:rsidRPr="000444E3" w:rsidRDefault="006D1B5F" w:rsidP="006D1B5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773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«Бюджетный эффект от реализации мероприятий Программы</w:t>
      </w:r>
    </w:p>
    <w:p w14:paraId="4D49B082" w14:textId="77777777" w:rsidR="006D1B5F" w:rsidRPr="000444E3" w:rsidRDefault="006D1B5F" w:rsidP="006D1B5F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054CC9" w14:textId="77777777" w:rsidR="006D1B5F" w:rsidRPr="000444E3" w:rsidRDefault="006D1B5F" w:rsidP="006D1B5F">
      <w:pPr>
        <w:autoSpaceDE w:val="0"/>
        <w:autoSpaceDN w:val="0"/>
        <w:adjustRightInd w:val="0"/>
        <w:spacing w:after="0" w:line="276" w:lineRule="auto"/>
        <w:ind w:firstLine="72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0444E3">
        <w:rPr>
          <w:rFonts w:ascii="Times New Roman" w:eastAsia="Times New Roman" w:hAnsi="Times New Roman" w:cs="Times New Roman"/>
          <w:sz w:val="16"/>
          <w:szCs w:val="16"/>
          <w:lang w:eastAsia="ru-RU"/>
        </w:rPr>
        <w:t>(тыс. рублей)</w:t>
      </w: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24"/>
        <w:gridCol w:w="1701"/>
        <w:gridCol w:w="1842"/>
        <w:gridCol w:w="1418"/>
      </w:tblGrid>
      <w:tr w:rsidR="000444E3" w:rsidRPr="000444E3" w14:paraId="7A8089BF" w14:textId="77777777" w:rsidTr="000444E3">
        <w:trPr>
          <w:tblHeader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F8187" w14:textId="77777777" w:rsidR="000444E3" w:rsidRPr="000444E3" w:rsidRDefault="000444E3" w:rsidP="006D1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8EEF6" w14:textId="7CA2B856" w:rsidR="000444E3" w:rsidRPr="000444E3" w:rsidRDefault="000444E3" w:rsidP="006D1B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421D2" w14:textId="1075DA4D" w:rsidR="000444E3" w:rsidRPr="000444E3" w:rsidRDefault="000444E3" w:rsidP="0004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22F94" w14:textId="23F2583B" w:rsidR="000444E3" w:rsidRPr="000444E3" w:rsidRDefault="000444E3" w:rsidP="000444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0444E3" w:rsidRPr="000444E3" w14:paraId="0780ED99" w14:textId="77777777" w:rsidTr="000444E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1E6EB" w14:textId="77777777" w:rsidR="000444E3" w:rsidRPr="000444E3" w:rsidRDefault="000444E3" w:rsidP="006D1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достижение бюджетного эффекта от деятельности по увеличению доходов консолидированного бюджета Лахденпохского муниципального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A055" w14:textId="6FA727C7" w:rsidR="000444E3" w:rsidRPr="000444E3" w:rsidRDefault="00C54EAB" w:rsidP="00C54E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2 164,0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CA59" w14:textId="00DA42A4" w:rsidR="000444E3" w:rsidRPr="000444E3" w:rsidRDefault="000444E3" w:rsidP="00C54EA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44E3">
              <w:rPr>
                <w:rFonts w:ascii="Times New Roman" w:eastAsia="Calibri" w:hAnsi="Times New Roman" w:cs="Times New Roman"/>
                <w:sz w:val="24"/>
                <w:szCs w:val="24"/>
              </w:rPr>
              <w:t>3 </w:t>
            </w:r>
            <w:r w:rsidR="00C54EAB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  <w:r w:rsidRPr="000444E3">
              <w:rPr>
                <w:rFonts w:ascii="Times New Roman" w:eastAsia="Calibri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AA0A1" w14:textId="0A52DDBF" w:rsidR="000444E3" w:rsidRPr="000444E3" w:rsidRDefault="00C54EAB" w:rsidP="006D1B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4 472</w:t>
            </w:r>
            <w:r w:rsidR="000444E3" w:rsidRPr="000444E3"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</w:p>
        </w:tc>
      </w:tr>
      <w:tr w:rsidR="000444E3" w:rsidRPr="000444E3" w14:paraId="0405A204" w14:textId="77777777" w:rsidTr="000444E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7B6D5" w14:textId="77777777" w:rsidR="000444E3" w:rsidRPr="000444E3" w:rsidRDefault="000444E3" w:rsidP="006D1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по оптимизации расходов консолидированного бюджета Лахденпохского муниципального района, из них: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E142F" w14:textId="5234F7E5" w:rsidR="000444E3" w:rsidRPr="000444E3" w:rsidRDefault="00C54EAB" w:rsidP="006D1B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7 873</w:t>
            </w:r>
            <w:r w:rsidR="00E73F67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  <w:p w14:paraId="1979289E" w14:textId="77777777" w:rsidR="000444E3" w:rsidRPr="000444E3" w:rsidRDefault="000444E3" w:rsidP="006D1B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EB32" w14:textId="252B7316" w:rsidR="000444E3" w:rsidRPr="000444E3" w:rsidRDefault="00C54EAB" w:rsidP="006D1B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8 084,0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C70A" w14:textId="0CF60DEA" w:rsidR="000444E3" w:rsidRPr="000444E3" w:rsidRDefault="00C54EAB" w:rsidP="006D1B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8 295,0</w:t>
            </w:r>
          </w:p>
        </w:tc>
      </w:tr>
      <w:tr w:rsidR="000444E3" w:rsidRPr="000444E3" w14:paraId="425345D8" w14:textId="77777777" w:rsidTr="000444E3">
        <w:trPr>
          <w:trHeight w:val="272"/>
        </w:trPr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DE402" w14:textId="77777777" w:rsidR="000444E3" w:rsidRPr="000444E3" w:rsidRDefault="000444E3" w:rsidP="006D1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в сфере управления муниципальным долгом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10B33" w14:textId="6D3616EF" w:rsidR="000444E3" w:rsidRPr="000444E3" w:rsidRDefault="00C54EAB" w:rsidP="006D1B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1 300,0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781B7" w14:textId="7EBEDD84" w:rsidR="000444E3" w:rsidRPr="000444E3" w:rsidRDefault="00C54EAB" w:rsidP="006D1B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80952" w14:textId="0D1EEDCD" w:rsidR="000444E3" w:rsidRPr="000444E3" w:rsidRDefault="00C54EAB" w:rsidP="006D1B5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1 300,0</w:t>
            </w:r>
          </w:p>
        </w:tc>
      </w:tr>
      <w:tr w:rsidR="000444E3" w:rsidRPr="000444E3" w14:paraId="4E788C46" w14:textId="77777777" w:rsidTr="000444E3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B35AE" w14:textId="77777777" w:rsidR="000444E3" w:rsidRPr="000444E3" w:rsidRDefault="000444E3" w:rsidP="006D1B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4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70F41" w14:textId="4A578415" w:rsidR="000444E3" w:rsidRPr="000444E3" w:rsidRDefault="00C54EAB" w:rsidP="00E73F67">
            <w:pPr>
              <w:ind w:left="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11 337,0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10F8B" w14:textId="2352CC7B" w:rsidR="000444E3" w:rsidRPr="000444E3" w:rsidRDefault="00C54EAB" w:rsidP="00E73F67">
            <w:pPr>
              <w:ind w:left="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12 701,0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E4D05" w14:textId="6C9E5093" w:rsidR="000444E3" w:rsidRPr="000444E3" w:rsidRDefault="00C54EAB" w:rsidP="00E73F67">
            <w:pPr>
              <w:ind w:left="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14 067,0</w:t>
            </w:r>
          </w:p>
        </w:tc>
      </w:tr>
    </w:tbl>
    <w:p w14:paraId="01AA3885" w14:textId="77777777" w:rsidR="006D1B5F" w:rsidRPr="000444E3" w:rsidRDefault="006D1B5F" w:rsidP="006D1B5F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NewRomanPSMT"/>
          <w:sz w:val="28"/>
          <w:szCs w:val="28"/>
          <w:lang w:eastAsia="ru-RU"/>
        </w:rPr>
      </w:pPr>
    </w:p>
    <w:p w14:paraId="0735F3F7" w14:textId="1331AF5F" w:rsidR="00D56E88" w:rsidRPr="00B46F82" w:rsidRDefault="00D56E88" w:rsidP="00B46F82">
      <w:pPr>
        <w:pStyle w:val="ad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F82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46F8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Программы</w:t>
      </w:r>
    </w:p>
    <w:p w14:paraId="4385424F" w14:textId="77777777" w:rsidR="006A4574" w:rsidRPr="00B46F82" w:rsidRDefault="006A4574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AC48CB" w14:textId="77777777" w:rsidR="001D08BA" w:rsidRPr="00B46F82" w:rsidRDefault="001D08BA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Программы проводится финансовым управлением по итогам ее реализации за отчетный финансовый год и в целом по окончании ее реализации </w:t>
      </w:r>
    </w:p>
    <w:p w14:paraId="63713DCC" w14:textId="46C1D0F6" w:rsidR="00CA7E87" w:rsidRPr="00B46F82" w:rsidRDefault="00CA7E8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6F82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рассчитывается по формуле:</w:t>
      </w:r>
    </w:p>
    <w:p w14:paraId="0A5CAB95" w14:textId="77777777" w:rsidR="00CA7E87" w:rsidRPr="00B46F82" w:rsidRDefault="00CA7E8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A99994" w14:textId="0937A0FB" w:rsidR="00CA7E87" w:rsidRDefault="00CA7E8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46F82">
        <w:rPr>
          <w:rFonts w:ascii="Times New Roman" w:hAnsi="Times New Roman" w:cs="Times New Roman"/>
          <w:sz w:val="28"/>
          <w:szCs w:val="28"/>
        </w:rPr>
        <w:t>Оэп</w:t>
      </w:r>
      <w:proofErr w:type="spellEnd"/>
      <w:r w:rsidRPr="00B46F82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proofErr w:type="gramStart"/>
      <w:r w:rsidRPr="00B46F82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B46F82">
        <w:rPr>
          <w:rFonts w:ascii="Times New Roman" w:hAnsi="Times New Roman" w:cs="Times New Roman"/>
          <w:sz w:val="28"/>
          <w:szCs w:val="28"/>
        </w:rPr>
        <w:t>бэ</w:t>
      </w:r>
      <w:proofErr w:type="spellEnd"/>
      <w:r w:rsidRPr="00B46F82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B46F82">
        <w:rPr>
          <w:rFonts w:ascii="Times New Roman" w:hAnsi="Times New Roman" w:cs="Times New Roman"/>
          <w:sz w:val="28"/>
          <w:szCs w:val="28"/>
        </w:rPr>
        <w:t>Oцп</w:t>
      </w:r>
      <w:proofErr w:type="spellEnd"/>
      <w:r w:rsidRPr="00B46F82">
        <w:rPr>
          <w:rFonts w:ascii="Times New Roman" w:hAnsi="Times New Roman" w:cs="Times New Roman"/>
          <w:sz w:val="28"/>
          <w:szCs w:val="28"/>
        </w:rPr>
        <w:t>)/2,</w:t>
      </w:r>
      <w:r w:rsidR="00B46F82">
        <w:rPr>
          <w:rFonts w:ascii="Times New Roman" w:hAnsi="Times New Roman" w:cs="Times New Roman"/>
          <w:sz w:val="28"/>
          <w:szCs w:val="28"/>
        </w:rPr>
        <w:t xml:space="preserve"> </w:t>
      </w:r>
      <w:r w:rsidRPr="00B46F82">
        <w:rPr>
          <w:rFonts w:ascii="Times New Roman" w:hAnsi="Times New Roman" w:cs="Times New Roman"/>
          <w:sz w:val="28"/>
          <w:szCs w:val="28"/>
        </w:rPr>
        <w:t>где:</w:t>
      </w:r>
    </w:p>
    <w:p w14:paraId="3627681E" w14:textId="77777777" w:rsidR="00B46F82" w:rsidRPr="00B46F82" w:rsidRDefault="00B46F82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775BF86" w14:textId="77777777" w:rsidR="00CA7E87" w:rsidRPr="00B46F82" w:rsidRDefault="00CA7E8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46F82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B46F82">
        <w:rPr>
          <w:rFonts w:ascii="Times New Roman" w:hAnsi="Times New Roman" w:cs="Times New Roman"/>
          <w:sz w:val="28"/>
          <w:szCs w:val="28"/>
        </w:rPr>
        <w:t>бэ</w:t>
      </w:r>
      <w:proofErr w:type="spellEnd"/>
      <w:r w:rsidRPr="00B46F82">
        <w:rPr>
          <w:rFonts w:ascii="Times New Roman" w:hAnsi="Times New Roman" w:cs="Times New Roman"/>
          <w:sz w:val="28"/>
          <w:szCs w:val="28"/>
        </w:rPr>
        <w:t xml:space="preserve"> - оценка степени достижения объема бюджетного эффекта от реализации Плана мероприятий Программы, рассчитываемая как отношение фактического объема бюджетного эффекта за отчетный год к плановому объему бюджетного эффекта, утвержденного Программой;</w:t>
      </w:r>
    </w:p>
    <w:p w14:paraId="4B413BB7" w14:textId="77777777" w:rsidR="00CA7E87" w:rsidRPr="00B43F41" w:rsidRDefault="00CA7E8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43F41">
        <w:rPr>
          <w:rFonts w:ascii="Times New Roman" w:hAnsi="Times New Roman" w:cs="Times New Roman"/>
          <w:sz w:val="28"/>
          <w:szCs w:val="28"/>
        </w:rPr>
        <w:t>O</w:t>
      </w:r>
      <w:proofErr w:type="gramEnd"/>
      <w:r w:rsidRPr="00B43F41">
        <w:rPr>
          <w:rFonts w:ascii="Times New Roman" w:hAnsi="Times New Roman" w:cs="Times New Roman"/>
          <w:sz w:val="28"/>
          <w:szCs w:val="28"/>
        </w:rPr>
        <w:t>цп</w:t>
      </w:r>
      <w:proofErr w:type="spellEnd"/>
      <w:r w:rsidRPr="00B43F41">
        <w:rPr>
          <w:rFonts w:ascii="Times New Roman" w:hAnsi="Times New Roman" w:cs="Times New Roman"/>
          <w:sz w:val="28"/>
          <w:szCs w:val="28"/>
        </w:rPr>
        <w:t xml:space="preserve"> - оценка степени выполнения целевых показателей </w:t>
      </w:r>
      <w:hyperlink r:id="rId18" w:history="1">
        <w:r w:rsidRPr="00B43F4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Плана</w:t>
        </w:r>
      </w:hyperlink>
      <w:r w:rsidRPr="00B43F41">
        <w:rPr>
          <w:rFonts w:ascii="Times New Roman" w:hAnsi="Times New Roman" w:cs="Times New Roman"/>
          <w:sz w:val="28"/>
          <w:szCs w:val="28"/>
        </w:rPr>
        <w:t xml:space="preserve"> мероприятий Программы, рассчитываемая как отношение количества мероприятий, выполненных в полном объеме, к плановому общему количеству мероприятий, запланированных к реализации в отчетном периоде и утвержденных Программой.</w:t>
      </w:r>
    </w:p>
    <w:p w14:paraId="209CB2A0" w14:textId="77777777" w:rsidR="00CA7E87" w:rsidRPr="00B43F41" w:rsidRDefault="00CA7E8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F41">
        <w:rPr>
          <w:rFonts w:ascii="Times New Roman" w:hAnsi="Times New Roman" w:cs="Times New Roman"/>
          <w:sz w:val="28"/>
          <w:szCs w:val="28"/>
        </w:rPr>
        <w:t xml:space="preserve">Для оценки степени реализации мероприятий, предусмотренных </w:t>
      </w:r>
      <w:hyperlink r:id="rId19" w:history="1">
        <w:r w:rsidRPr="00B43F4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План</w:t>
        </w:r>
      </w:hyperlink>
      <w:r w:rsidRPr="00B43F41">
        <w:rPr>
          <w:rFonts w:ascii="Times New Roman" w:hAnsi="Times New Roman" w:cs="Times New Roman"/>
          <w:sz w:val="28"/>
          <w:szCs w:val="28"/>
        </w:rPr>
        <w:t>ом мероприятий Программы, учитываются мероприятия, запланированные к реализации в отчетном году, а также переходящие мероприятия.</w:t>
      </w:r>
    </w:p>
    <w:p w14:paraId="367D611E" w14:textId="00D1E10D" w:rsidR="00CA7E87" w:rsidRPr="00B43F41" w:rsidRDefault="00CA7E8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F41">
        <w:rPr>
          <w:rFonts w:ascii="Times New Roman" w:hAnsi="Times New Roman" w:cs="Times New Roman"/>
          <w:sz w:val="28"/>
          <w:szCs w:val="28"/>
        </w:rPr>
        <w:t xml:space="preserve">Критерием </w:t>
      </w:r>
      <w:proofErr w:type="gramStart"/>
      <w:r w:rsidRPr="00B43F41">
        <w:rPr>
          <w:rFonts w:ascii="Times New Roman" w:hAnsi="Times New Roman" w:cs="Times New Roman"/>
          <w:sz w:val="28"/>
          <w:szCs w:val="28"/>
        </w:rPr>
        <w:t xml:space="preserve">оценки степени выполнения мероприятий </w:t>
      </w:r>
      <w:hyperlink r:id="rId20" w:history="1">
        <w:r w:rsidRPr="00B43F4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Плана</w:t>
        </w:r>
      </w:hyperlink>
      <w:r w:rsidRPr="00B43F41">
        <w:rPr>
          <w:rFonts w:ascii="Times New Roman" w:hAnsi="Times New Roman" w:cs="Times New Roman"/>
          <w:sz w:val="28"/>
          <w:szCs w:val="28"/>
        </w:rPr>
        <w:t xml:space="preserve"> мероприятий Программы</w:t>
      </w:r>
      <w:proofErr w:type="gramEnd"/>
      <w:r w:rsidRPr="00B43F41">
        <w:rPr>
          <w:rFonts w:ascii="Times New Roman" w:hAnsi="Times New Roman" w:cs="Times New Roman"/>
          <w:sz w:val="28"/>
          <w:szCs w:val="28"/>
        </w:rPr>
        <w:t xml:space="preserve"> является выполнение мероприятий в полном объеме, если фактическое выполнение мероприятий составляет не менее 95 процентов от запланированного.</w:t>
      </w:r>
    </w:p>
    <w:p w14:paraId="03039032" w14:textId="77777777" w:rsidR="00CA7E87" w:rsidRPr="00B43F41" w:rsidRDefault="00CA7E8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F41">
        <w:rPr>
          <w:rFonts w:ascii="Times New Roman" w:hAnsi="Times New Roman" w:cs="Times New Roman"/>
          <w:sz w:val="28"/>
          <w:szCs w:val="28"/>
        </w:rPr>
        <w:t xml:space="preserve">Обязательным условием </w:t>
      </w:r>
      <w:proofErr w:type="gramStart"/>
      <w:r w:rsidRPr="00B43F41">
        <w:rPr>
          <w:rFonts w:ascii="Times New Roman" w:hAnsi="Times New Roman" w:cs="Times New Roman"/>
          <w:sz w:val="28"/>
          <w:szCs w:val="28"/>
        </w:rPr>
        <w:t xml:space="preserve">оценки эффективности реализации </w:t>
      </w:r>
      <w:hyperlink r:id="rId21" w:history="1">
        <w:r w:rsidRPr="00B43F4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Плана</w:t>
        </w:r>
      </w:hyperlink>
      <w:r w:rsidRPr="00B43F41">
        <w:rPr>
          <w:rFonts w:ascii="Times New Roman" w:hAnsi="Times New Roman" w:cs="Times New Roman"/>
          <w:sz w:val="28"/>
          <w:szCs w:val="28"/>
        </w:rPr>
        <w:t xml:space="preserve"> мероприятий Программы</w:t>
      </w:r>
      <w:proofErr w:type="gramEnd"/>
      <w:r w:rsidRPr="00B43F41">
        <w:rPr>
          <w:rFonts w:ascii="Times New Roman" w:hAnsi="Times New Roman" w:cs="Times New Roman"/>
          <w:sz w:val="28"/>
          <w:szCs w:val="28"/>
        </w:rPr>
        <w:t xml:space="preserve"> является успешное (полное) достижение запланированных целевых показателей (на основе индикаторов) в установленные сроки.</w:t>
      </w:r>
    </w:p>
    <w:p w14:paraId="3ABF8EE7" w14:textId="77777777" w:rsidR="00CA7E87" w:rsidRPr="00B43F41" w:rsidRDefault="00CA7E8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F41">
        <w:rPr>
          <w:rFonts w:ascii="Times New Roman" w:hAnsi="Times New Roman" w:cs="Times New Roman"/>
          <w:sz w:val="28"/>
          <w:szCs w:val="28"/>
        </w:rPr>
        <w:lastRenderedPageBreak/>
        <w:t xml:space="preserve">Целевые показатели </w:t>
      </w:r>
      <w:hyperlink r:id="rId22" w:history="1">
        <w:r w:rsidRPr="00B43F41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Плана</w:t>
        </w:r>
      </w:hyperlink>
      <w:r w:rsidRPr="00B43F41">
        <w:rPr>
          <w:rFonts w:ascii="Times New Roman" w:hAnsi="Times New Roman" w:cs="Times New Roman"/>
          <w:sz w:val="28"/>
          <w:szCs w:val="28"/>
        </w:rPr>
        <w:t xml:space="preserve"> мероприятий Программы считаются выполненными в полном объеме при достижении критериев оценки и при получении следующих результатов:</w:t>
      </w:r>
    </w:p>
    <w:p w14:paraId="61DA0B5C" w14:textId="77777777" w:rsidR="00CA7E87" w:rsidRPr="00B43F41" w:rsidRDefault="00CA7E8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F41">
        <w:rPr>
          <w:rFonts w:ascii="Times New Roman" w:hAnsi="Times New Roman" w:cs="Times New Roman"/>
          <w:sz w:val="28"/>
          <w:szCs w:val="28"/>
        </w:rPr>
        <w:t xml:space="preserve">1) показатель с числовым значением показателей (в том числе показатели бюджетного эффекта) считается выполненным в полном объеме, если фактически достигнутое значение показателя составляет не менее </w:t>
      </w:r>
      <w:r w:rsidRPr="00B43F41">
        <w:rPr>
          <w:rFonts w:ascii="Times New Roman" w:hAnsi="Times New Roman" w:cs="Times New Roman"/>
          <w:sz w:val="28"/>
          <w:szCs w:val="28"/>
        </w:rPr>
        <w:br/>
        <w:t>95 процентов от запланированного и с учетом корректировки объемов финансирования по мероприятию;</w:t>
      </w:r>
    </w:p>
    <w:p w14:paraId="04F2B84B" w14:textId="77777777" w:rsidR="00CA7E87" w:rsidRPr="00B43F41" w:rsidRDefault="00CA7E8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F41">
        <w:rPr>
          <w:rFonts w:ascii="Times New Roman" w:hAnsi="Times New Roman" w:cs="Times New Roman"/>
          <w:sz w:val="28"/>
          <w:szCs w:val="28"/>
        </w:rPr>
        <w:t>2) показатели, предусматривающие разработку или принятие нормативных правовых актов, считаются выполненными в полном объеме в случае разработки или принятия нормативных правовых актов в установленные сроки;</w:t>
      </w:r>
    </w:p>
    <w:p w14:paraId="6E94CFFD" w14:textId="77777777" w:rsidR="00CA7E87" w:rsidRPr="00B43F41" w:rsidRDefault="00CA7E8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F41">
        <w:rPr>
          <w:rFonts w:ascii="Times New Roman" w:hAnsi="Times New Roman" w:cs="Times New Roman"/>
          <w:sz w:val="28"/>
          <w:szCs w:val="28"/>
        </w:rPr>
        <w:t xml:space="preserve">3) по иным мероприятиям результаты реализации оцениваются как наступление или </w:t>
      </w:r>
      <w:proofErr w:type="spellStart"/>
      <w:r w:rsidRPr="00B43F41">
        <w:rPr>
          <w:rFonts w:ascii="Times New Roman" w:hAnsi="Times New Roman" w:cs="Times New Roman"/>
          <w:sz w:val="28"/>
          <w:szCs w:val="28"/>
        </w:rPr>
        <w:t>ненаступление</w:t>
      </w:r>
      <w:proofErr w:type="spellEnd"/>
      <w:r w:rsidRPr="00B43F41">
        <w:rPr>
          <w:rFonts w:ascii="Times New Roman" w:hAnsi="Times New Roman" w:cs="Times New Roman"/>
          <w:sz w:val="28"/>
          <w:szCs w:val="28"/>
        </w:rPr>
        <w:t xml:space="preserve"> контрольного события (событий) и (или) достижение качественного результата.</w:t>
      </w:r>
    </w:p>
    <w:p w14:paraId="5DFC0655" w14:textId="77777777" w:rsidR="00CA7E87" w:rsidRPr="00B43F41" w:rsidRDefault="00CA7E87" w:rsidP="00B46F82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F41">
        <w:rPr>
          <w:rFonts w:ascii="Times New Roman" w:hAnsi="Times New Roman" w:cs="Times New Roman"/>
          <w:sz w:val="28"/>
          <w:szCs w:val="28"/>
        </w:rPr>
        <w:t>По результатам ежегодной оценки эффективности реализации Программы присваивается соответствующий уровень эффективности реализации Программы:</w:t>
      </w:r>
    </w:p>
    <w:p w14:paraId="288BDA99" w14:textId="77777777" w:rsidR="00CA7E87" w:rsidRPr="00B43F41" w:rsidRDefault="00CA7E87" w:rsidP="00B46F82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08"/>
        <w:gridCol w:w="4111"/>
      </w:tblGrid>
      <w:tr w:rsidR="00B43F41" w:rsidRPr="00B43F41" w14:paraId="594B4E67" w14:textId="77777777" w:rsidTr="00CA7E87"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DF2C1" w14:textId="47D79D6F" w:rsidR="00CA7E87" w:rsidRPr="00B43F41" w:rsidRDefault="00CA7E87" w:rsidP="00B46F82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41">
              <w:rPr>
                <w:rFonts w:ascii="Times New Roman" w:hAnsi="Times New Roman" w:cs="Times New Roman"/>
                <w:sz w:val="28"/>
                <w:szCs w:val="28"/>
              </w:rPr>
              <w:t>Численное значение оценки эффективности реализации Программы (</w:t>
            </w:r>
            <w:proofErr w:type="spellStart"/>
            <w:r w:rsidRPr="00B43F41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r w:rsidRPr="00B43F41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pm</w:t>
            </w:r>
            <w:proofErr w:type="spellEnd"/>
            <w:r w:rsidRPr="00B43F4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6A16C" w14:textId="77777777" w:rsidR="00CA7E87" w:rsidRPr="00B43F41" w:rsidRDefault="00CA7E87" w:rsidP="00B46F82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3F41">
              <w:rPr>
                <w:rFonts w:ascii="Times New Roman" w:hAnsi="Times New Roman" w:cs="Times New Roman"/>
                <w:sz w:val="28"/>
                <w:szCs w:val="28"/>
              </w:rPr>
              <w:t>Уровень эффективности реализации Программы</w:t>
            </w:r>
          </w:p>
        </w:tc>
      </w:tr>
      <w:tr w:rsidR="00CA7E87" w:rsidRPr="00B46F82" w14:paraId="6A49B787" w14:textId="77777777" w:rsidTr="00CA7E87"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98AA" w14:textId="77777777" w:rsidR="00CA7E87" w:rsidRPr="00B46F82" w:rsidRDefault="00CA7E87" w:rsidP="00B46F82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46F82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proofErr w:type="gramEnd"/>
            <w:r w:rsidRPr="00B46F8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эп</w:t>
            </w:r>
            <w:proofErr w:type="spellEnd"/>
            <w:r w:rsidRPr="00B46F82">
              <w:rPr>
                <w:rFonts w:ascii="Times New Roman" w:hAnsi="Times New Roman" w:cs="Times New Roman"/>
                <w:sz w:val="28"/>
                <w:szCs w:val="28"/>
              </w:rPr>
              <w:t xml:space="preserve"> ≥ 0,95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C8F7F" w14:textId="77777777" w:rsidR="00CA7E87" w:rsidRPr="00B46F82" w:rsidRDefault="00CA7E87" w:rsidP="00B46F82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F82">
              <w:rPr>
                <w:rFonts w:ascii="Times New Roman" w:hAnsi="Times New Roman" w:cs="Times New Roman"/>
                <w:sz w:val="28"/>
                <w:szCs w:val="28"/>
              </w:rPr>
              <w:t>высокая эффективность</w:t>
            </w:r>
          </w:p>
        </w:tc>
      </w:tr>
      <w:tr w:rsidR="00CA7E87" w:rsidRPr="00B46F82" w14:paraId="49E894CC" w14:textId="77777777" w:rsidTr="00CA7E87"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29F52" w14:textId="77777777" w:rsidR="00CA7E87" w:rsidRPr="00B46F82" w:rsidRDefault="00CA7E87" w:rsidP="00B46F82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F82">
              <w:rPr>
                <w:rFonts w:ascii="Times New Roman" w:hAnsi="Times New Roman" w:cs="Times New Roman"/>
                <w:sz w:val="28"/>
                <w:szCs w:val="28"/>
              </w:rPr>
              <w:t xml:space="preserve">0,95 &gt; </w:t>
            </w:r>
            <w:proofErr w:type="spellStart"/>
            <w:proofErr w:type="gramStart"/>
            <w:r w:rsidRPr="00B46F82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proofErr w:type="gramEnd"/>
            <w:r w:rsidRPr="00B46F8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эп</w:t>
            </w:r>
            <w:proofErr w:type="spellEnd"/>
            <w:r w:rsidRPr="00B46F82">
              <w:rPr>
                <w:rFonts w:ascii="Times New Roman" w:hAnsi="Times New Roman" w:cs="Times New Roman"/>
                <w:sz w:val="28"/>
                <w:szCs w:val="28"/>
              </w:rPr>
              <w:t xml:space="preserve"> ≥ 0,8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6C822" w14:textId="77777777" w:rsidR="00CA7E87" w:rsidRPr="00B46F82" w:rsidRDefault="00CA7E87" w:rsidP="00B46F82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F82">
              <w:rPr>
                <w:rFonts w:ascii="Times New Roman" w:hAnsi="Times New Roman" w:cs="Times New Roman"/>
                <w:sz w:val="28"/>
                <w:szCs w:val="28"/>
              </w:rPr>
              <w:t>достаточная эффективность</w:t>
            </w:r>
          </w:p>
        </w:tc>
      </w:tr>
      <w:tr w:rsidR="00CA7E87" w:rsidRPr="00B46F82" w14:paraId="751AF808" w14:textId="77777777" w:rsidTr="00CA7E87"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124C8" w14:textId="77777777" w:rsidR="00CA7E87" w:rsidRPr="00B46F82" w:rsidRDefault="00CA7E87" w:rsidP="00B46F82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F82">
              <w:rPr>
                <w:rFonts w:ascii="Times New Roman" w:hAnsi="Times New Roman" w:cs="Times New Roman"/>
                <w:sz w:val="28"/>
                <w:szCs w:val="28"/>
              </w:rPr>
              <w:t xml:space="preserve">0,8 &gt; </w:t>
            </w:r>
            <w:proofErr w:type="spellStart"/>
            <w:proofErr w:type="gramStart"/>
            <w:r w:rsidRPr="00B46F82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proofErr w:type="gramEnd"/>
            <w:r w:rsidRPr="00B46F8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эп</w:t>
            </w:r>
            <w:proofErr w:type="spellEnd"/>
            <w:r w:rsidRPr="00B46F82">
              <w:rPr>
                <w:rFonts w:ascii="Times New Roman" w:hAnsi="Times New Roman" w:cs="Times New Roman"/>
                <w:sz w:val="28"/>
                <w:szCs w:val="28"/>
              </w:rPr>
              <w:t xml:space="preserve"> ≥ 0,6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D0239" w14:textId="77777777" w:rsidR="00CA7E87" w:rsidRPr="00B46F82" w:rsidRDefault="00CA7E87" w:rsidP="00B46F82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F82">
              <w:rPr>
                <w:rFonts w:ascii="Times New Roman" w:hAnsi="Times New Roman" w:cs="Times New Roman"/>
                <w:sz w:val="28"/>
                <w:szCs w:val="28"/>
              </w:rPr>
              <w:t>средняя эффективность</w:t>
            </w:r>
          </w:p>
        </w:tc>
      </w:tr>
      <w:tr w:rsidR="00CA7E87" w:rsidRPr="00B46F82" w14:paraId="6DBD2C1C" w14:textId="77777777" w:rsidTr="00CA7E87">
        <w:tc>
          <w:tcPr>
            <w:tcW w:w="5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3502" w14:textId="77777777" w:rsidR="00CA7E87" w:rsidRPr="00B46F82" w:rsidRDefault="00CA7E87" w:rsidP="00B46F82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46F82">
              <w:rPr>
                <w:rFonts w:ascii="Times New Roman" w:hAnsi="Times New Roman" w:cs="Times New Roman"/>
                <w:sz w:val="28"/>
                <w:szCs w:val="28"/>
              </w:rPr>
              <w:t>O</w:t>
            </w:r>
            <w:proofErr w:type="gramEnd"/>
            <w:r w:rsidRPr="00B46F8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эп</w:t>
            </w:r>
            <w:proofErr w:type="spellEnd"/>
            <w:r w:rsidRPr="00B46F82">
              <w:rPr>
                <w:rFonts w:ascii="Times New Roman" w:hAnsi="Times New Roman" w:cs="Times New Roman"/>
                <w:sz w:val="28"/>
                <w:szCs w:val="28"/>
              </w:rPr>
              <w:t xml:space="preserve"> &lt; 0,6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048FE" w14:textId="77777777" w:rsidR="00CA7E87" w:rsidRPr="00B46F82" w:rsidRDefault="00CA7E87" w:rsidP="00B46F82">
            <w:pPr>
              <w:pStyle w:val="ad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6F82">
              <w:rPr>
                <w:rFonts w:ascii="Times New Roman" w:hAnsi="Times New Roman" w:cs="Times New Roman"/>
                <w:sz w:val="28"/>
                <w:szCs w:val="28"/>
              </w:rPr>
              <w:t>низкая эффективность</w:t>
            </w:r>
          </w:p>
        </w:tc>
      </w:tr>
    </w:tbl>
    <w:p w14:paraId="0D522756" w14:textId="77777777" w:rsidR="00CA7E87" w:rsidRPr="00B46F82" w:rsidRDefault="00CA7E87" w:rsidP="00B46F82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p w14:paraId="4D5352FA" w14:textId="77777777" w:rsidR="00D56E88" w:rsidRPr="00B46F82" w:rsidRDefault="00D56E88" w:rsidP="00B46F82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</w:p>
    <w:sectPr w:rsidR="00D56E88" w:rsidRPr="00B46F82" w:rsidSect="005910F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A47982" w14:textId="77777777" w:rsidR="00266E35" w:rsidRDefault="00266E35">
      <w:pPr>
        <w:spacing w:after="0" w:line="240" w:lineRule="auto"/>
      </w:pPr>
      <w:r>
        <w:separator/>
      </w:r>
    </w:p>
  </w:endnote>
  <w:endnote w:type="continuationSeparator" w:id="0">
    <w:p w14:paraId="6D071550" w14:textId="77777777" w:rsidR="00266E35" w:rsidRDefault="00266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CC"/>
    <w:family w:val="auto"/>
    <w:notTrueType/>
    <w:pitch w:val="default"/>
    <w:sig w:usb0="00000001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069661" w14:textId="77777777" w:rsidR="00091046" w:rsidRDefault="00091046" w:rsidP="00153FD7">
    <w:pPr>
      <w:pStyle w:val="a6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59C3D2EA" w14:textId="77777777" w:rsidR="00091046" w:rsidRDefault="00091046" w:rsidP="00153FD7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BBDC3E" w14:textId="77777777" w:rsidR="00091046" w:rsidRDefault="00091046" w:rsidP="00153FD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A5022" w14:textId="77777777" w:rsidR="00266E35" w:rsidRDefault="00266E35">
      <w:pPr>
        <w:spacing w:after="0" w:line="240" w:lineRule="auto"/>
      </w:pPr>
      <w:r>
        <w:separator/>
      </w:r>
    </w:p>
  </w:footnote>
  <w:footnote w:type="continuationSeparator" w:id="0">
    <w:p w14:paraId="1B991C7E" w14:textId="77777777" w:rsidR="00266E35" w:rsidRDefault="00266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2258321"/>
      <w:docPartObj>
        <w:docPartGallery w:val="Page Numbers (Top of Page)"/>
        <w:docPartUnique/>
      </w:docPartObj>
    </w:sdtPr>
    <w:sdtEndPr/>
    <w:sdtContent>
      <w:p w14:paraId="2126EC79" w14:textId="77777777" w:rsidR="00091046" w:rsidRDefault="0009104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59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D4AA044" w14:textId="77777777" w:rsidR="00091046" w:rsidRDefault="0009104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8F1B49" w14:textId="77777777" w:rsidR="00091046" w:rsidRDefault="00091046">
    <w:pPr>
      <w:pStyle w:val="a4"/>
      <w:jc w:val="center"/>
    </w:pPr>
  </w:p>
  <w:p w14:paraId="6D169F33" w14:textId="77777777" w:rsidR="00091046" w:rsidRDefault="000910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D5374"/>
    <w:multiLevelType w:val="hybridMultilevel"/>
    <w:tmpl w:val="A452464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F446878"/>
    <w:multiLevelType w:val="hybridMultilevel"/>
    <w:tmpl w:val="453460B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F92C7F"/>
    <w:multiLevelType w:val="hybridMultilevel"/>
    <w:tmpl w:val="F2EA9858"/>
    <w:lvl w:ilvl="0" w:tplc="8884C916">
      <w:start w:val="1"/>
      <w:numFmt w:val="decimal"/>
      <w:lvlText w:val="%1)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1C4962E8"/>
    <w:multiLevelType w:val="hybridMultilevel"/>
    <w:tmpl w:val="58262D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427971"/>
    <w:multiLevelType w:val="hybridMultilevel"/>
    <w:tmpl w:val="786EB35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63D66222"/>
    <w:multiLevelType w:val="hybridMultilevel"/>
    <w:tmpl w:val="EFCAA7F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8DB5EEC"/>
    <w:multiLevelType w:val="hybridMultilevel"/>
    <w:tmpl w:val="BFACA8D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622468B"/>
    <w:multiLevelType w:val="hybridMultilevel"/>
    <w:tmpl w:val="1CF8B9F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42C"/>
    <w:rsid w:val="00002DA4"/>
    <w:rsid w:val="000261DC"/>
    <w:rsid w:val="000323C0"/>
    <w:rsid w:val="000370BA"/>
    <w:rsid w:val="00041D44"/>
    <w:rsid w:val="000444E3"/>
    <w:rsid w:val="00055E77"/>
    <w:rsid w:val="00087ECC"/>
    <w:rsid w:val="00091046"/>
    <w:rsid w:val="000A1E98"/>
    <w:rsid w:val="000B122C"/>
    <w:rsid w:val="000C5DD6"/>
    <w:rsid w:val="000F2DC2"/>
    <w:rsid w:val="000F5882"/>
    <w:rsid w:val="00141DAE"/>
    <w:rsid w:val="00153FD7"/>
    <w:rsid w:val="00166233"/>
    <w:rsid w:val="001778B9"/>
    <w:rsid w:val="00191DA4"/>
    <w:rsid w:val="001D08BA"/>
    <w:rsid w:val="001F08B7"/>
    <w:rsid w:val="0023374F"/>
    <w:rsid w:val="0023696A"/>
    <w:rsid w:val="00266E35"/>
    <w:rsid w:val="00272AD6"/>
    <w:rsid w:val="00287211"/>
    <w:rsid w:val="00293EDF"/>
    <w:rsid w:val="002B6CF4"/>
    <w:rsid w:val="00305298"/>
    <w:rsid w:val="00305A0C"/>
    <w:rsid w:val="0035492C"/>
    <w:rsid w:val="00367B33"/>
    <w:rsid w:val="003811E7"/>
    <w:rsid w:val="003A5E33"/>
    <w:rsid w:val="003B594D"/>
    <w:rsid w:val="003F78C1"/>
    <w:rsid w:val="00407B9D"/>
    <w:rsid w:val="00436223"/>
    <w:rsid w:val="00470B5D"/>
    <w:rsid w:val="004B13C4"/>
    <w:rsid w:val="005556B4"/>
    <w:rsid w:val="00573B01"/>
    <w:rsid w:val="00582B25"/>
    <w:rsid w:val="00583248"/>
    <w:rsid w:val="005910F5"/>
    <w:rsid w:val="00596A4B"/>
    <w:rsid w:val="005B3D3B"/>
    <w:rsid w:val="005B4BF9"/>
    <w:rsid w:val="005D5CC8"/>
    <w:rsid w:val="005E218A"/>
    <w:rsid w:val="005F70F2"/>
    <w:rsid w:val="006449AC"/>
    <w:rsid w:val="00656E3B"/>
    <w:rsid w:val="006601EE"/>
    <w:rsid w:val="0066221D"/>
    <w:rsid w:val="0067559F"/>
    <w:rsid w:val="00681822"/>
    <w:rsid w:val="006A4574"/>
    <w:rsid w:val="006B12CC"/>
    <w:rsid w:val="006B47F9"/>
    <w:rsid w:val="006D1B5F"/>
    <w:rsid w:val="006F3A98"/>
    <w:rsid w:val="0072561D"/>
    <w:rsid w:val="00727E9E"/>
    <w:rsid w:val="00733D8C"/>
    <w:rsid w:val="00747656"/>
    <w:rsid w:val="00753850"/>
    <w:rsid w:val="00781C8D"/>
    <w:rsid w:val="007F6758"/>
    <w:rsid w:val="00832C92"/>
    <w:rsid w:val="008347E1"/>
    <w:rsid w:val="0084487E"/>
    <w:rsid w:val="0086179C"/>
    <w:rsid w:val="008C59E2"/>
    <w:rsid w:val="008C60F0"/>
    <w:rsid w:val="008F5DB7"/>
    <w:rsid w:val="008F741B"/>
    <w:rsid w:val="0091385B"/>
    <w:rsid w:val="0092336B"/>
    <w:rsid w:val="00933888"/>
    <w:rsid w:val="00950CC5"/>
    <w:rsid w:val="00964B6F"/>
    <w:rsid w:val="0098236F"/>
    <w:rsid w:val="00992106"/>
    <w:rsid w:val="009A3EF4"/>
    <w:rsid w:val="009D142C"/>
    <w:rsid w:val="00A01748"/>
    <w:rsid w:val="00A05EDA"/>
    <w:rsid w:val="00A61938"/>
    <w:rsid w:val="00A76D0A"/>
    <w:rsid w:val="00A960C2"/>
    <w:rsid w:val="00AE0D0C"/>
    <w:rsid w:val="00AF5FC2"/>
    <w:rsid w:val="00AF7354"/>
    <w:rsid w:val="00B43F41"/>
    <w:rsid w:val="00B46F82"/>
    <w:rsid w:val="00B9040A"/>
    <w:rsid w:val="00B94F95"/>
    <w:rsid w:val="00BD7AEC"/>
    <w:rsid w:val="00BF52E9"/>
    <w:rsid w:val="00C519C5"/>
    <w:rsid w:val="00C54EAB"/>
    <w:rsid w:val="00C60D23"/>
    <w:rsid w:val="00C70426"/>
    <w:rsid w:val="00C8265E"/>
    <w:rsid w:val="00C9088C"/>
    <w:rsid w:val="00C931DC"/>
    <w:rsid w:val="00C95380"/>
    <w:rsid w:val="00CA50AE"/>
    <w:rsid w:val="00CA7E87"/>
    <w:rsid w:val="00CE58A8"/>
    <w:rsid w:val="00CE7739"/>
    <w:rsid w:val="00CF50F4"/>
    <w:rsid w:val="00D06CAE"/>
    <w:rsid w:val="00D2059A"/>
    <w:rsid w:val="00D359DA"/>
    <w:rsid w:val="00D379A8"/>
    <w:rsid w:val="00D40DD8"/>
    <w:rsid w:val="00D56E88"/>
    <w:rsid w:val="00D81B31"/>
    <w:rsid w:val="00DC2105"/>
    <w:rsid w:val="00DD3A6F"/>
    <w:rsid w:val="00E11C24"/>
    <w:rsid w:val="00E141B1"/>
    <w:rsid w:val="00E16EE3"/>
    <w:rsid w:val="00E17B0B"/>
    <w:rsid w:val="00E73F67"/>
    <w:rsid w:val="00EB354F"/>
    <w:rsid w:val="00ED2D4B"/>
    <w:rsid w:val="00F16772"/>
    <w:rsid w:val="00F4414E"/>
    <w:rsid w:val="00FC4DBE"/>
    <w:rsid w:val="00FD1860"/>
    <w:rsid w:val="00FE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C1E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92C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549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page number"/>
    <w:basedOn w:val="a0"/>
    <w:rsid w:val="00D56E88"/>
  </w:style>
  <w:style w:type="paragraph" w:styleId="a4">
    <w:name w:val="header"/>
    <w:basedOn w:val="a"/>
    <w:link w:val="a5"/>
    <w:uiPriority w:val="99"/>
    <w:rsid w:val="00D56E8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56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D56E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D56E8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D40DD8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D40DD8"/>
    <w:pPr>
      <w:spacing w:after="200" w:line="276" w:lineRule="auto"/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950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950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F7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78C1"/>
    <w:rPr>
      <w:rFonts w:ascii="Tahoma" w:hAnsi="Tahoma" w:cs="Tahoma"/>
      <w:sz w:val="16"/>
      <w:szCs w:val="16"/>
    </w:rPr>
  </w:style>
  <w:style w:type="paragraph" w:styleId="ad">
    <w:name w:val="No Spacing"/>
    <w:link w:val="ae"/>
    <w:uiPriority w:val="1"/>
    <w:qFormat/>
    <w:rsid w:val="006A4574"/>
    <w:pPr>
      <w:spacing w:after="0" w:line="240" w:lineRule="auto"/>
    </w:pPr>
  </w:style>
  <w:style w:type="table" w:customStyle="1" w:styleId="2">
    <w:name w:val="Сетка таблицы2"/>
    <w:basedOn w:val="a1"/>
    <w:next w:val="aa"/>
    <w:uiPriority w:val="59"/>
    <w:rsid w:val="006755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Без интервала Знак"/>
    <w:link w:val="ad"/>
    <w:uiPriority w:val="1"/>
    <w:qFormat/>
    <w:locked/>
    <w:rsid w:val="009921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492C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549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page number"/>
    <w:basedOn w:val="a0"/>
    <w:rsid w:val="00D56E88"/>
  </w:style>
  <w:style w:type="paragraph" w:styleId="a4">
    <w:name w:val="header"/>
    <w:basedOn w:val="a"/>
    <w:link w:val="a5"/>
    <w:uiPriority w:val="99"/>
    <w:rsid w:val="00D56E8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56E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D56E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ижний колонтитул Знак"/>
    <w:basedOn w:val="a0"/>
    <w:link w:val="a6"/>
    <w:rsid w:val="00D56E8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D40DD8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D40DD8"/>
    <w:pPr>
      <w:spacing w:after="200" w:line="276" w:lineRule="auto"/>
      <w:ind w:left="720"/>
      <w:contextualSpacing/>
    </w:pPr>
  </w:style>
  <w:style w:type="table" w:customStyle="1" w:styleId="1">
    <w:name w:val="Сетка таблицы1"/>
    <w:basedOn w:val="a1"/>
    <w:next w:val="aa"/>
    <w:uiPriority w:val="59"/>
    <w:rsid w:val="00950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39"/>
    <w:rsid w:val="00950C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3F78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F78C1"/>
    <w:rPr>
      <w:rFonts w:ascii="Tahoma" w:hAnsi="Tahoma" w:cs="Tahoma"/>
      <w:sz w:val="16"/>
      <w:szCs w:val="16"/>
    </w:rPr>
  </w:style>
  <w:style w:type="paragraph" w:styleId="ad">
    <w:name w:val="No Spacing"/>
    <w:link w:val="ae"/>
    <w:uiPriority w:val="1"/>
    <w:qFormat/>
    <w:rsid w:val="006A4574"/>
    <w:pPr>
      <w:spacing w:after="0" w:line="240" w:lineRule="auto"/>
    </w:pPr>
  </w:style>
  <w:style w:type="table" w:customStyle="1" w:styleId="2">
    <w:name w:val="Сетка таблицы2"/>
    <w:basedOn w:val="a1"/>
    <w:next w:val="aa"/>
    <w:uiPriority w:val="59"/>
    <w:rsid w:val="0067559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Без интервала Знак"/>
    <w:link w:val="ad"/>
    <w:uiPriority w:val="1"/>
    <w:qFormat/>
    <w:locked/>
    <w:rsid w:val="009921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login.consultant.ru/link/?req=doc&amp;base=LAW&amp;n=284617" TargetMode="External"/><Relationship Id="rId18" Type="http://schemas.openxmlformats.org/officeDocument/2006/relationships/hyperlink" Target="consultantplus://offline/ref=8105798E9312805E0D8D1442BE182671AA2E074764541C7A43966738C02AE586953D9B0D6DAA91E641C2EBA4510E8CD06384A1CD126538E3A3F10DCFRBq8I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105798E9312805E0D8D1442BE182671AA2E074764541C7A43966738C02AE586953D9B0D6DAA91E641C2EBA4510E8CD06384A1CD126538E3A3F10DCFRBq8I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hyperlink" Target="consultantplus://offline/ref=1C51F7C8BF84B5F1EF71418F508112AB4BD09B36041DB466318BAE0F2E6702A189DD9578F25669B87268A559F5EEC1D50E2B3CF6EFFE3259E4C84CD3c1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C51F7C8BF84B5F1EF71418F508112AB4BD09B36041DB466318BAE0F2E6702A189DD9578F25669B87268A559F5EEC1D50E2B3CF6EFFE3259E4C84CD3c1L" TargetMode="External"/><Relationship Id="rId20" Type="http://schemas.openxmlformats.org/officeDocument/2006/relationships/hyperlink" Target="consultantplus://offline/ref=8105798E9312805E0D8D1442BE182671AA2E074764541C7A43966738C02AE586953D9B0D6DAA91E641C2EBA4510E8CD06384A1CD126538E3A3F10DCFRBq8I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FC502884EF7AF46F188609603B44FEE9579869AB38C7EF2A3F33337EDF665E3CF257A9D10F16D3E4B3CC4E6525CBC5D066D64C40E94DDBECC98426CFDW7M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consultantplus://offline/ref=8105798E9312805E0D8D1442BE182671AA2E074764541C7A43966738C02AE586953D9B0D6DAA91E641C2EBA4510E8CD06384A1CD126538E3A3F10DCFRBq8I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279FBD69B511F715205AA802FADFE7CE9FEA273D7A490CD008E229CE52BFDBB1E51F1AA3F366638722CF6709DD873E1162F34C0E182C87B5465944B541t1K" TargetMode="External"/><Relationship Id="rId22" Type="http://schemas.openxmlformats.org/officeDocument/2006/relationships/hyperlink" Target="consultantplus://offline/ref=8105798E9312805E0D8D1442BE182671AA2E074764541C7A43966738C02AE586953D9B0D6DAA91E641C2EBA4510E8CD06384A1CD126538E3A3F10DCFRBq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4534</Words>
  <Characters>25848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 Ogurtsova</dc:creator>
  <cp:lastModifiedBy>Пользователь</cp:lastModifiedBy>
  <cp:revision>2</cp:revision>
  <cp:lastPrinted>2025-02-21T06:07:00Z</cp:lastPrinted>
  <dcterms:created xsi:type="dcterms:W3CDTF">2025-02-24T08:21:00Z</dcterms:created>
  <dcterms:modified xsi:type="dcterms:W3CDTF">2025-02-24T08:21:00Z</dcterms:modified>
</cp:coreProperties>
</file>