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Доклад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2018 год и их планируемых значениях на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>3-х летний период</w:t>
      </w:r>
    </w:p>
    <w:p>
      <w:pPr>
        <w:spacing w:after="0" w:line="240" w:lineRule="auto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Настоящий доклад подготовлен в целях исполнения Указа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районов».    </w:t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Администрацией Лахденпохского муниципального  района принято распоряжение от 15.04.2019 года №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 xml:space="preserve">100-П «О подготовке доклада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2018 год и их планируемых значениях на 3-летний период», регламентирующее работу по оценке эффективности деятельности органов местного самоуправления в районе. </w:t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В течение 2018 года осуществлялась реализация мероприятий по улучшению значений показателей эффективности деятельности органов местного самоуправления и исполнения рекомендаций органов исполнительной власти Республики Карелия.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color w:val="00000a"/>
          <w:kern w:val="1"/>
          <w:sz w:val="28"/>
          <w:szCs w:val="28"/>
        </w:rPr>
      </w:pPr>
      <w:r>
        <w:rPr>
          <w:rFonts w:ascii="Times New Roman" w:hAnsi="Times New Roman" w:eastAsia="Times New Roman"/>
          <w:color w:val="00000a"/>
          <w:kern w:val="1"/>
          <w:sz w:val="28"/>
          <w:szCs w:val="28"/>
        </w:rPr>
        <w:t xml:space="preserve">  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   Деятельность Администрации муниципального района в 2018 году была направлена на реализацию Федерального закона от 06.10.2003 года №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>131-ФЗ «Об общих принципах организации местного самоуправления в Российской Федерации», комплексное социально-экономическое развитие района, решения большинства вопросов местного значения муниципального района и переданных отдельных государственных полномочий.</w:t>
      </w:r>
      <w:r>
        <w:rPr>
          <w:rFonts w:ascii="Times New Roman" w:hAnsi="Times New Roman" w:eastAsia="Times New Roman"/>
          <w:color w:val="00000a"/>
          <w:kern w:val="1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kern w:val="1"/>
          <w:sz w:val="28"/>
          <w:szCs w:val="28"/>
        </w:rPr>
      </w:pPr>
      <w:r>
        <w:rPr>
          <w:rFonts w:ascii="Times New Roman" w:hAnsi="Times New Roman"/>
          <w:color w:val="00000a"/>
          <w:kern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kern w:val="1"/>
          <w:sz w:val="28"/>
          <w:szCs w:val="28"/>
        </w:rPr>
        <w:t xml:space="preserve">   </w:t>
      </w:r>
      <w:r>
        <w:rPr>
          <w:rFonts w:ascii="Times New Roman" w:hAnsi="Times New Roman" w:eastAsia="Times New Roman"/>
          <w:kern w:val="1"/>
          <w:sz w:val="24"/>
          <w:szCs w:val="24"/>
        </w:rPr>
        <w:t>В целом за 2017 год в муниципальном образовании динамика отдельных экономических показателей по отношению к 2016 году демонстрирует положительную направленность.</w:t>
      </w:r>
      <w:r>
        <w:rPr>
          <w:rFonts w:ascii="Times New Roman" w:hAnsi="Times New Roman"/>
          <w:color w:val="00000a"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kern w:val="1"/>
          <w:sz w:val="24"/>
          <w:szCs w:val="24"/>
        </w:rPr>
        <w:t xml:space="preserve">Если оценивать экономическую ситуацию, прошедший год для района был очень напряженным, ориентированным на стабилизацию социально-экономической ситуации, реализацию муниципальных программ и исполнение бюджета муниципального района. 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  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      </w:t>
      </w:r>
      <w:r>
        <w:rPr>
          <w:rFonts w:ascii="Times New Roman" w:hAnsi="Times New Roman" w:eastAsia="Times New Roman"/>
          <w:kern w:val="1"/>
          <w:sz w:val="28"/>
          <w:szCs w:val="28"/>
        </w:rPr>
        <w:t xml:space="preserve">        </w:t>
      </w:r>
      <w:r>
        <w:rPr>
          <w:rFonts w:ascii="Times New Roman" w:hAnsi="Times New Roman" w:eastAsia="Times New Roman"/>
          <w:kern w:val="1"/>
          <w:sz w:val="28"/>
          <w:szCs w:val="28"/>
        </w:rPr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1) Общие сведения о муниципальном образовании. 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 -  «Лахденпохский муниципальный район».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Среднегодовая численность населения  Лахденпохского  муниципального района  за 2018 год составляет 12,7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>тыс.чел.  Численность населения на 01.01.2019 года 12642 чел.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Административный центр – </w:t>
      </w:r>
      <w:r>
        <w:rPr>
          <w:rFonts w:ascii="Times New Roman" w:hAnsi="Times New Roman"/>
          <w:bCs/>
          <w:sz w:val="24"/>
          <w:szCs w:val="24"/>
        </w:rPr>
        <w:t xml:space="preserve">город </w:t>
      </w:r>
      <w:r>
        <w:rPr>
          <w:rFonts w:ascii="Times New Roman" w:hAnsi="Times New Roman"/>
          <w:bCs/>
          <w:sz w:val="24"/>
          <w:szCs w:val="24"/>
        </w:rPr>
        <w:t>Лахденпохья</w:t>
      </w:r>
      <w:r>
        <w:rPr>
          <w:rFonts w:ascii="Times New Roman" w:hAnsi="Times New Roman"/>
          <w:bCs/>
          <w:sz w:val="24"/>
          <w:szCs w:val="24"/>
        </w:rPr>
        <w:t xml:space="preserve">, в котором проживает </w:t>
      </w:r>
      <w:r>
        <w:rPr>
          <w:rFonts w:ascii="Times New Roman" w:hAnsi="Times New Roman"/>
          <w:sz w:val="24"/>
          <w:szCs w:val="24"/>
        </w:rPr>
        <w:t xml:space="preserve">на 1 января 2019 года </w:t>
      </w:r>
      <w:r>
        <w:rPr>
          <w:rFonts w:ascii="Times New Roman" w:hAnsi="Times New Roman" w:eastAsia="Times New Roman"/>
          <w:sz w:val="24"/>
          <w:szCs w:val="24"/>
          <w:shd w:val="clear" w:fill="ffffff"/>
        </w:rPr>
        <w:t>7</w:t>
      </w:r>
      <w:r>
        <w:rPr>
          <w:rFonts w:ascii="Times New Roman" w:hAnsi="Times New Roman"/>
          <w:bCs/>
          <w:sz w:val="24"/>
          <w:szCs w:val="24"/>
        </w:rPr>
        <w:t>158 человек  (</w:t>
      </w:r>
      <w:r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6,</w:t>
      </w:r>
      <w:r>
        <w:rPr>
          <w:rFonts w:ascii="Times New Roman" w:hAnsi="Times New Roman"/>
          <w:bCs/>
          <w:sz w:val="24"/>
          <w:szCs w:val="24"/>
        </w:rPr>
        <w:t>6%  от общей численности населения района).</w:t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района: </w:t>
      </w:r>
      <w:r>
        <w:rPr>
          <w:rFonts w:ascii="Times New Roman" w:hAnsi="Times New Roman"/>
          <w:iCs/>
          <w:sz w:val="24"/>
          <w:szCs w:val="24"/>
        </w:rPr>
        <w:t xml:space="preserve">1 городское поселение: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Лахденпохское;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 xml:space="preserve">сельских поселения: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Мийнальское; Элисенваарское; Куркиекское;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>Хийтольское. На территории района  находится 50 населенных пунктов.</w:t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Через Лахденпохский район проходит автодорога федерального значения  А-121, что обеспечивает и транспортную доступность территории района. </w:t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Район пересекается магистральной железной дорогой «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 xml:space="preserve">Санкт-Петербург - Петрозаводск», которая дает выход в другие экономические районы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 xml:space="preserve">РФ. 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Экономическое развитие.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Основу экономики района определяют лесопромышленный комплекс, добыча полезных ископаемых, розничная и оптовая торговля. </w:t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color w:val="ff0000"/>
          <w:kern w:val="1"/>
          <w:sz w:val="24"/>
          <w:szCs w:val="24"/>
          <w:lang w:bidi="hi-in"/>
        </w:rPr>
      </w:pPr>
      <w:r>
        <w:rPr>
          <w:rFonts w:ascii="Times New Roman" w:hAnsi="Times New Roman"/>
          <w:bCs/>
          <w:sz w:val="24"/>
          <w:szCs w:val="24"/>
        </w:rPr>
        <w:t>Основные виды выпускаемой продукции</w:t>
      </w:r>
      <w:r>
        <w:rPr>
          <w:rFonts w:ascii="Times New Roman" w:hAnsi="Times New Roman"/>
          <w:sz w:val="24"/>
          <w:szCs w:val="24"/>
        </w:rPr>
        <w:t>: пиломатериалы, гравий, щебень, теплоэнергия, цельномолочная продукция, скот на убой в живом весе, хлебобулочные изделия.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  Одним из основных экономических показателей является оборот организаций всех видов деятельности в денежном выражении.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>За  2018 год данный показатель хоть и незначительно, но увеличился и достиг уровня</w:t>
      </w:r>
      <w:r>
        <w:rPr>
          <w:rFonts w:ascii="Times New Roman" w:hAnsi="Times New Roman" w:eastAsia="Times New Roman"/>
          <w:b/>
          <w:bCs/>
          <w:color w:val="00000a"/>
          <w:kern w:val="1"/>
          <w:sz w:val="24"/>
          <w:szCs w:val="24"/>
          <w:lang w:bidi="hi-in"/>
        </w:rPr>
        <w:t xml:space="preserve">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1,4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млрд. руб. или 102,5 к уровню 2017 года.     </w:t>
      </w:r>
      <w:r>
        <w:rPr>
          <w:rFonts w:ascii="Times New Roman" w:hAnsi="Times New Roman" w:eastAsia="Times New Roman"/>
          <w:color w:val="ff0000"/>
          <w:kern w:val="1"/>
          <w:sz w:val="24"/>
          <w:szCs w:val="24"/>
          <w:lang w:bidi="hi-in"/>
        </w:rPr>
        <w:t xml:space="preserve">       </w:t>
      </w:r>
      <w:r>
        <w:rPr>
          <w:rFonts w:ascii="Times New Roman" w:hAnsi="Times New Roman" w:eastAsia="Times New Roman"/>
          <w:color w:val="ff0000"/>
          <w:kern w:val="1"/>
          <w:sz w:val="24"/>
          <w:szCs w:val="24"/>
          <w:lang w:bidi="hi-in"/>
        </w:rPr>
      </w:r>
    </w:p>
    <w:p>
      <w:pPr>
        <w:spacing w:after="0" w:line="240" w:lineRule="exact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cs="Calibri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      В целом за 2018 год в муниципальном образовании динамика отдельных экономических показателей по отношению к 2017 году демонстрирует </w:t>
      </w:r>
      <w:r>
        <w:rPr>
          <w:rFonts w:ascii="Times New Roman" w:hAnsi="Times New Roman" w:eastAsia="Times New Roman"/>
          <w:kern w:val="1"/>
          <w:sz w:val="24"/>
          <w:szCs w:val="24"/>
          <w:u w:color="auto" w:val="single"/>
          <w:lang w:bidi="hi-in"/>
        </w:rPr>
        <w:t>положительную направленность.</w:t>
      </w:r>
      <w:r>
        <w:rPr>
          <w:rFonts w:cs="Calibri"/>
          <w:color w:val="00000a"/>
          <w:kern w:val="1"/>
          <w:sz w:val="24"/>
          <w:szCs w:val="24"/>
          <w:lang w:bidi="hi-in"/>
        </w:rPr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                 Индекс промышленного производства за 2018 год составил 111,7% (за 2017 год-100,4%), а в сфере водоснабжение; 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>водоотведение, организация сбора и утилизации отходов, деятельность по ликвидации загрязнений в 2018 году вырос по сравнению с 2017 годом в 2,4 раза.</w:t>
      </w:r>
      <w:r>
        <w:rPr>
          <w:rFonts w:ascii="Times New Roman" w:hAnsi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bCs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- Инвестиции в основной капитал  составили 2480,1 млн.руб. (в 9,2 раза выше уровня 2017 года);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Вырос уровень безработицы в районе, на 1 января 2019 года -  1,24% (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>2018г - 1,0%);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Введено в действие 6163 кв.м. жилья (рост в 1,8 раза к уровню 2017 года);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0" hidden="0" allowOverlap="1">
            <wp:simplePos x="0" y="0"/>
            <wp:positionH relativeFrom="column">
              <wp:posOffset>1988185</wp:posOffset>
            </wp:positionH>
            <wp:positionV relativeFrom="paragraph">
              <wp:posOffset>2847340</wp:posOffset>
            </wp:positionV>
            <wp:extent cx="3187065" cy="2179955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иаграмма 1"/>
                    <pic:cNvPicPr>
                      <a:extLst>
                        <a:ext uri="smNativeData">
                          <sm:smNativeData xmlns:sm="smo" val="SMDATA_12_L4vr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BgAAAAAgAAAAAAAAAAAAAAAAAAAAgAAADsMAAAAAAAAAgAAAIQRAACbEwAAaQ0AAAEAAADgEgAAFhsAAA=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3187065" cy="2179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2" behindDoc="0" locked="0" layoutInCell="0" hidden="0" allowOverlap="1">
            <wp:simplePos x="0" y="0"/>
            <wp:positionH relativeFrom="column">
              <wp:posOffset>1988185</wp:posOffset>
            </wp:positionH>
            <wp:positionV relativeFrom="paragraph">
              <wp:posOffset>2847340</wp:posOffset>
            </wp:positionV>
            <wp:extent cx="3187065" cy="2179955"/>
            <wp:effectExtent l="0" t="0" r="0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Диаграмма 2"/>
                    <pic:cNvPicPr>
                      <a:extLst>
                        <a:ext uri="smNativeData">
                          <sm:smNativeData xmlns:sm="smo" val="SMDATA_12_L4vr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BgAAAAAgAAAAAAAAAAAAAAAAAAAAgAAADsMAAAAAAAAAgAAAIQRAACbEwAAaQ0AAAEAAADgEgAAFhsAAA=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3187065" cy="2179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3" behindDoc="0" locked="0" layoutInCell="0" hidden="0" allowOverlap="1">
            <wp:simplePos x="0" y="0"/>
            <wp:positionH relativeFrom="column">
              <wp:posOffset>1988185</wp:posOffset>
            </wp:positionH>
            <wp:positionV relativeFrom="paragraph">
              <wp:posOffset>2847340</wp:posOffset>
            </wp:positionV>
            <wp:extent cx="3187065" cy="2179955"/>
            <wp:effectExtent l="0" t="0" r="0" b="0"/>
            <wp:wrapNone/>
            <wp:docPr id="3" name="Диаграмма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Диаграмма 3"/>
                    <pic:cNvPicPr>
                      <a:extLst>
                        <a:ext uri="smNativeData">
                          <sm:smNativeData xmlns:sm="smo" val="SMDATA_12_L4vr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BgAAAAAgAAAAAAAAAAAAAAAAAAAAgAAADsMAAAAAAAAAgAAAIQRAACbEwAAaQ0AAAEAAADgEgAAFhsAAA=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3187065" cy="2179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- Увеличилось поголовье крупного рогатого скота (на 10,7% больше по сравнению с 2017 годом), скот и птица на убой (в живом весе) на 16,8%;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среднемесячная заработная плата  увеличилась на 14,2% к уровню 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  <w:t>2017г;</w:t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color w:val="00000a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Лесопромышленным комплексом района произведено основных видов продукции на 112,4% по сравнению с 2017 годом.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color w:val="00000a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- Предприятиями горнопромышленного комплекса в 2018 году произведено 1433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>тыс.куб.м нерудных строительных материалов (114% к аналогичному периоду 2017 года).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bCs/>
          <w:sz w:val="24"/>
          <w:szCs w:val="24"/>
          <w:u w:color="auto" w:val="single"/>
        </w:rPr>
      </w:pPr>
      <w:r>
        <w:rPr>
          <w:rFonts w:ascii="Times New Roman" w:hAnsi="Times New Roman" w:eastAsia="Times New Roman"/>
          <w:bCs/>
          <w:sz w:val="24"/>
          <w:szCs w:val="24"/>
          <w:u w:color="auto" w:val="single"/>
        </w:rPr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2) </w:t>
      </w: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Оценка эффективности деятельности органов местного самоуправления района за отчетный год. </w:t>
      </w:r>
      <w:r>
        <w:rPr>
          <w:rFonts w:ascii="Times New Roman" w:hAnsi="Times New Roman" w:eastAsia="Times New Roman"/>
          <w:b/>
          <w:bCs/>
          <w:sz w:val="24"/>
          <w:szCs w:val="24"/>
        </w:rPr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Аналитическая информация о достижении значений показателей. </w:t>
      </w:r>
    </w:p>
    <w:p>
      <w:pPr>
        <w:numPr>
          <w:ilvl w:val="0"/>
          <w:numId w:val="2"/>
        </w:numPr>
        <w:ind w:left="360" w:hanging="36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Число субъектов малого и среднего предпринимательства в расчете на 10 тыс. человек населения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kern w:val="1"/>
          <w:sz w:val="24"/>
          <w:szCs w:val="24"/>
        </w:rPr>
      </w:pPr>
      <w:r>
        <w:rPr>
          <w:rFonts w:ascii="Times New Roman" w:hAnsi="Times New Roman" w:eastAsia="SimSun"/>
          <w:kern w:val="1"/>
          <w:sz w:val="24"/>
          <w:szCs w:val="24"/>
        </w:rPr>
        <w:t xml:space="preserve">   Сектор малого и среднего бизнеса является неотъемлемой частью экономической составляющей развития района. Предприятия малого бизнеса строят свою деятельность исходя из потребности местного рынка, предоставляют новые рабочие места населению и являются одним из источников пополнения местного бюджета.</w:t>
      </w:r>
    </w:p>
    <w:p>
      <w:pPr>
        <w:spacing w:after="0" w:line="240" w:lineRule="auto"/>
        <w:contextualSpacing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По состоянию на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>01.01.2019г. в районе  по данным Единого реестра субъектов малого и среднего предпринимательства зарегистрирован 431 субъект. Число субъектов малого и среднего предпринимательства в расчете на 10 тыс. человек населения снизилось на 2,0%  (338 ед.)</w:t>
      </w:r>
      <w:r>
        <w:rPr>
          <w:rFonts w:ascii="Times New Roman" w:hAnsi="Times New Roman" w:eastAsia="Times New Roman"/>
          <w:i/>
          <w:sz w:val="24"/>
          <w:szCs w:val="24"/>
        </w:rPr>
        <w:t xml:space="preserve">, </w:t>
      </w:r>
      <w:r>
        <w:rPr>
          <w:rFonts w:ascii="Times New Roman" w:hAnsi="Times New Roman" w:eastAsia="Times New Roman"/>
          <w:sz w:val="24"/>
          <w:szCs w:val="24"/>
        </w:rPr>
        <w:t>снижение меньше чем в 2017 году(-5,4%).</w:t>
      </w:r>
      <w:r>
        <w:rPr>
          <w:rFonts w:ascii="Times New Roman" w:hAnsi="Times New Roman" w:eastAsia="Times New Roman"/>
          <w:i/>
          <w:sz w:val="24"/>
          <w:szCs w:val="24"/>
        </w:rPr>
      </w:r>
    </w:p>
    <w:p>
      <w:pPr>
        <w:ind w:firstLine="54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Наблюдается тенденция к увеличению количества субъектов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СМП на 01.04.2019 года -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зарегистировано 455 ед., однако это меньше на 3 единицы, чем на 01.04.2018 года.  </w:t>
      </w:r>
    </w:p>
    <w:p>
      <w:pPr>
        <w:ind w:firstLine="54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i/>
          <w:iCs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2.  </w:t>
      </w:r>
      <w:r>
        <w:rPr>
          <w:rFonts w:ascii="Times New Roman" w:hAnsi="Times New Roman" w:eastAsia="Times New Roman"/>
          <w:i/>
          <w:iCs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  <w:r>
        <w:rPr>
          <w:rFonts w:ascii="Times New Roman" w:hAnsi="Times New Roman" w:eastAsia="Times New Roman"/>
          <w:i/>
          <w:iCs/>
          <w:sz w:val="24"/>
          <w:szCs w:val="24"/>
        </w:rPr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kern w:val="1"/>
          <w:sz w:val="24"/>
          <w:szCs w:val="24"/>
          <w:lang w:bidi="hi-in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рамках муниципальной программы «Развитие малого и среднего предпринимательства в Лахденпохском  муниципальном районе на 2015-2019 годы» в 2018 году объем финансирования мероприятий  составил  1030  тыс. руб., в том числе привлечено из республиканского бюджета 890 тыс. руб., 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>софинансирование из местного бюджета составило 140 тыс.руб.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kern w:val="1"/>
          <w:sz w:val="24"/>
          <w:szCs w:val="24"/>
        </w:rPr>
      </w:pPr>
      <w:r>
        <w:rPr>
          <w:rFonts w:ascii="Times New Roman" w:hAnsi="Times New Roman" w:eastAsia="Times New Roman"/>
          <w:kern w:val="1"/>
          <w:sz w:val="24"/>
          <w:szCs w:val="24"/>
        </w:rPr>
        <w:t xml:space="preserve">      За 2018 год было проведено три конкурса, субсидии получили 1 индивидуальный предприниматель и одно крестьянское (фермерское) хозяйство.  Создано 2 рабочих места.  Один конкурс</w:t>
      </w:r>
      <w:r>
        <w:rPr>
          <w:rFonts w:ascii="Times New Roman" w:hAnsi="Times New Roman" w:eastAsia="Times New Roman"/>
          <w:sz w:val="24"/>
          <w:szCs w:val="24"/>
        </w:rPr>
        <w:t xml:space="preserve"> на предоставление </w:t>
      </w:r>
      <w:r>
        <w:rPr>
          <w:rFonts w:ascii="Times New Roman" w:hAnsi="Times New Roman" w:eastAsia="Times New Roman"/>
          <w:iCs/>
          <w:sz w:val="24"/>
          <w:szCs w:val="24"/>
        </w:rPr>
        <w:t xml:space="preserve">субсидий, </w:t>
      </w:r>
      <w:r>
        <w:rPr>
          <w:rFonts w:ascii="Times New Roman" w:hAnsi="Times New Roman" w:eastAsia="Times New Roman"/>
          <w:sz w:val="24"/>
          <w:szCs w:val="24"/>
        </w:rPr>
        <w:t>направленных на субсидирование части затрат субъектов малого и среднего предпринимательства,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Лахденпохского муниципального района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 признан несостоявшимся, так как не было подано ни одной заявки. </w:t>
      </w:r>
      <w:r>
        <w:rPr>
          <w:rFonts w:ascii="Times New Roman" w:hAnsi="Times New Roman" w:eastAsia="Times New Roman"/>
          <w:kern w:val="1"/>
          <w:sz w:val="24"/>
          <w:szCs w:val="24"/>
        </w:rPr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Доля среднесписочной численности работников малого и среднего бизнеса в структуре занятости населения в 2018 году снизилась на 1,1 процентных пункта (53,6%).  Значение показателя в прогнозируемом периоде планируется к увеличению.  </w:t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На 2018 год в организациях и предприятиях района было запланировано создать 33 рабочих места, фактически было создано 125 новых рабочих мест, что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u w:color="auto" w:val="single"/>
          <w:lang w:bidi="hi-in"/>
        </w:rPr>
        <w:t>в 3,8 раза превышает плановый показатель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. Такой рост в основном связан с регистрацией 9 юридических лиц и 69 индивидуальных предпринимателей, 12 из которых получили поддержку на создание собственного дела.  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Субъекты малого и среднего предпринимательства традиционно  осуществляют предпринимательскую деятельность  в таких сферах: розничная и оптовая торговля, сфера бытовых услуг,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>лесопереработка, лесозаготовка, сельское хозяйство, грузоперевозки.</w:t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3. Объем инвестиций в основной капитал (за исключением бюджетных средств) в расчете на 1 жителя.</w:t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 2018 году  объем  инвестиций в основной капитал в расчете на одного  жителя  (за исключением бюджетных средств) составил 1044 руб., что что составляет 141,8% к уровню  2017 года. Такое увеличение связано с увеличением числа инвестиционных проектов, реализуемых на территории района. В настоящее время реализуются 4 инвестиционных проекта и продолжается строительство федеральной автодороги А-131. Общий объем инвестиций в 2018 году вырос по сравнению с 2017 годом в 9,2 раза (</w:t>
      </w:r>
      <w:r>
        <w:rPr>
          <w:rFonts w:ascii="Times New Roman" w:hAnsi="Times New Roman" w:eastAsia="Times New Roman"/>
          <w:sz w:val="24"/>
          <w:szCs w:val="24"/>
          <w:shd w:val="clear" w:fill="ffffff"/>
        </w:rPr>
        <w:t>2480088 тыс.руб.).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()"/>
        <w:spacing w:after="0" w:beforeAutospacing="0" w:afterAutospacing="0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>
        <w:rPr>
          <w:sz w:val="28"/>
          <w:szCs w:val="28"/>
        </w:rPr>
        <w:t xml:space="preserve">    </w:t>
      </w:r>
      <w:r>
        <w:t xml:space="preserve">Привлечение инвестиций в экономику района является одной из важнейших стратегических задач деятельности </w:t>
      </w:r>
      <w:r/>
      <w:r>
        <w:t xml:space="preserve">ОМСУ.  С целью оказания содействия в улучшении инвестиционного климата на территории муниципального района, оказанию консультационной поддержки субъектам инвестиционной деятельности, и снижению административных барьеров при реализации инвестиционных проектов действует Порядок сопровождения и участия в инвестиционных проектах, реализуемых и (или) планируемых к реализации на территории Лахденпохского муниципального района, утвержденный постановлением  Администрации от 19.12.2017 года №577.  </w:t>
      </w:r>
    </w:p>
    <w:p>
      <w:pPr>
        <w:pStyle w:val="1"/>
        <w:ind w:firstLine="567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настоящее время актуализирован инвестиционный паспорт района, который  используется как один из инструментов привлечения инвестиций. В инвестиционном паспорте для потенциальных инвесторов представлены свободные инвестиционные площадки (объекты недвижимости, в том числе земельные участки). Дорабатываются механизмы привлечения инвестиций. </w:t>
      </w:r>
    </w:p>
    <w:p>
      <w:pPr>
        <w:ind w:firstLine="54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4. </w:t>
      </w:r>
      <w:r>
        <w:rPr>
          <w:rFonts w:ascii="Times New Roman" w:hAnsi="Times New Roman"/>
          <w:i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настоящее время полномочия по предоставлению земельных участков государственная собственность, на которые не разграничена, перераспределены с 01.01.2016 года на уровень исполнительных органов власти Республики Карелия.</w:t>
      </w:r>
      <w:r>
        <w:rPr>
          <w:rFonts w:ascii="Times New Roman" w:hAnsi="Times New Roman"/>
          <w:bCs/>
          <w:i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Расчет показателя произведен по информации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>Росреестра о наличии площади земельных участков, являющихся объектами налогообложения, на территории района.</w:t>
        <w:tab/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Уменьшение показателя по отношению к 2017 году связано с количеством предоставленных в 2018 году в собственность земельных участков с учетом их площади. Прогноз на последующие годы составлен на основании фактического показателя 2018 года.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рассчитывалась исходя из следующих показателей: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общая площадь территории Лахденпохского муниципального района,га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общая площадь земельных участков предоставленных в 2017 году в собственность, га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2017 году данный показатель составил 19,07%.   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Достижению высоких значений по данному показателю будет способствовать проведение работ по оптимизации муниципального земельного контроля, сотрудничество с подразделениями Федеральной налоговой службы, Управлением Федеральной службы государственной регистрации, кадастра и картографии по Республике Карелия, а также активизация процесса выкупа земельных участков. Увеличения данного показателя в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2020-2021годах можно достигнуть путем активизации процесса предоставления земельных участков в частную собственность (для строительства и иных целей). 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5. Доля прибыльных сельскохозяйственных организаций, в общем их числе</w:t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По данным Карелиястат прибыльных сельскохозяйственных предприятий в районе нет.</w:t>
      </w:r>
      <w:r>
        <w:rPr>
          <w:rFonts w:ascii="Times New Roman" w:hAnsi="Times New Roman"/>
          <w:i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kern w:val="1"/>
          <w:sz w:val="24"/>
          <w:szCs w:val="24"/>
        </w:rPr>
      </w:pPr>
      <w:r>
        <w:rPr>
          <w:bCs/>
        </w:rPr>
        <w:t xml:space="preserve">      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kern w:val="1"/>
          <w:sz w:val="24"/>
          <w:szCs w:val="24"/>
        </w:rPr>
        <w:t>Сельское хозяйство</w:t>
      </w:r>
      <w:r>
        <w:rPr>
          <w:rFonts w:ascii="Times New Roman" w:hAnsi="Times New Roman" w:eastAsia="Times New Roman"/>
          <w:b/>
          <w:bCs/>
          <w:kern w:val="1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kern w:val="1"/>
          <w:sz w:val="24"/>
          <w:szCs w:val="24"/>
        </w:rPr>
        <w:t>является важной отраслью экономики района, оно так же влияет на её состояние и темпы развития. Поэтому решение вопроса местного значения по созданию условий для развития сельскохозяйственного производства является для нас одним из приоритетных.</w:t>
      </w:r>
      <w:r>
        <w:rPr>
          <w:rFonts w:ascii="Times New Roman" w:hAnsi="Times New Roman" w:eastAsia="Times New Roman"/>
          <w:kern w:val="1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kern w:val="1"/>
          <w:sz w:val="24"/>
          <w:szCs w:val="24"/>
        </w:rPr>
      </w:pPr>
      <w:r>
        <w:rPr>
          <w:rFonts w:ascii="Times New Roman" w:hAnsi="Times New Roman" w:eastAsia="Times New Roman"/>
          <w:kern w:val="1"/>
          <w:sz w:val="24"/>
          <w:szCs w:val="24"/>
        </w:rPr>
        <w:t xml:space="preserve">        Прошлый год для сельского хозяйства района был </w:t>
      </w:r>
      <w:r>
        <w:rPr>
          <w:rFonts w:ascii="Times New Roman" w:hAnsi="Times New Roman" w:eastAsia="Times New Roman"/>
          <w:bCs/>
          <w:color w:val="00000a"/>
          <w:kern w:val="1"/>
          <w:sz w:val="24"/>
          <w:szCs w:val="24"/>
        </w:rPr>
        <w:t>напряженным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>.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 Но, несмотря на сложную ситуацию, хочется отметить определенные успехи в отрасли.</w:t>
      </w:r>
    </w:p>
    <w:p>
      <w:pPr>
        <w:spacing w:after="0" w:line="240" w:lineRule="auto"/>
        <w:jc w:val="both"/>
        <w:rPr>
          <w:rFonts w:eastAsia="SimSun" w:cs="Mangal"/>
          <w:color w:val="00000a"/>
          <w:kern w:val="1"/>
          <w:szCs w:val="24"/>
          <w:noProof w:val="1"/>
          <w:lang w:bidi="hi-in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 К 1 января 2019 года поголовье крупного рогатого скота в хозяйствах всех категорий составило 1156 гол (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на 10,7% больше по сравнению с 1 января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>2018г.), из него коров – 427 голов (на 35,6% больше); свиней – 146 голов (на 33,3% меньше), снизилось поголовье овец и коз – 358 голов (на 8,7% меньше).</w:t>
      </w:r>
      <w:r>
        <w:rPr>
          <w:rFonts w:cs="Calibri"/>
          <w:color w:val="00000a"/>
          <w:kern w:val="1"/>
          <w:sz w:val="24"/>
          <w:szCs w:val="24"/>
          <w:lang w:bidi="hi-in"/>
        </w:rPr>
        <w:t xml:space="preserve"> </w:t>
      </w:r>
      <w:r>
        <w:rPr>
          <w:rFonts w:eastAsia="SimSun" w:cs="Mangal"/>
          <w:color w:val="00000a"/>
          <w:kern w:val="1"/>
          <w:szCs w:val="24"/>
          <w:noProof w:val="1"/>
          <w:lang w:bidi="hi-in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Times New Roman"/>
          <w:bCs/>
          <w:color w:val="00000a"/>
          <w:kern w:val="1"/>
          <w:sz w:val="24"/>
          <w:szCs w:val="24"/>
        </w:rPr>
        <w:t xml:space="preserve">  Рост поголовья скота в значительной мере был связан с деятельностью сельскохозяйственного предприятия ООО «Новое» и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оказанием государственной поддержки на содействие развитию фермерских хозяйств в рамках государственной программы Республики Карелия.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>Общее поголовье крупного рогатого скота на предприятии по состоянию на 01.01.2019 года составило 866 голов (113% к уровню 2017 года), в том числе коров-302 головы (155% к уровню 2017 года).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</w:r>
    </w:p>
    <w:p>
      <w:pPr>
        <w:spacing w:after="0" w:line="240" w:lineRule="auto"/>
        <w:jc w:val="both"/>
        <w:tabs>
          <w:tab w:val="left" w:pos="510" w:leader="none"/>
        </w:tabs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     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>В 2018 году появилась незначительная положительная динамика в производстве сельскохозяйственной продукции.</w:t>
      </w:r>
      <w:r>
        <w:rPr>
          <w:rFonts w:ascii="Times New Roman" w:hAnsi="Times New Roman" w:eastAsia="Times New Roman"/>
          <w:color w:val="00000a"/>
          <w:kern w:val="1"/>
          <w:sz w:val="28"/>
          <w:szCs w:val="24"/>
          <w:lang w:bidi="hi-in"/>
        </w:rPr>
        <w:t xml:space="preserve">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>За год хозяйствами всех категорий района произведено 136,4 тонн скота и птицы на убой в живом весе (116,8% к уровню 2017 года), 481 тонны молока (93,4% к уровню 2017 года).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</w:r>
    </w:p>
    <w:p>
      <w:pPr>
        <w:spacing w:after="0" w:line="240" w:lineRule="auto"/>
        <w:jc w:val="both"/>
        <w:rPr>
          <w:rFonts w:eastAsia="SimSun" w:cs="Mangal"/>
          <w:color w:val="00000a"/>
          <w:kern w:val="1"/>
          <w:szCs w:val="24"/>
          <w:lang w:bidi="hi-in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На территории Лахденпохского муниципального района развивается такая сфера деятельности как 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аквакультура.  В районе зарегистрировано 4 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рыбоводных хозяйства: </w:t>
      </w:r>
      <w:r>
        <w:rPr>
          <w:rFonts w:eastAsia="SimSun" w:cs="Mangal"/>
          <w:color w:val="00000a"/>
          <w:kern w:val="1"/>
          <w:szCs w:val="24"/>
          <w:lang w:bidi="hi-in"/>
        </w:rPr>
      </w:r>
    </w:p>
    <w:p>
      <w:pPr>
        <w:numPr>
          <w:ilvl w:val="0"/>
          <w:numId w:val="1"/>
        </w:numPr>
        <w:ind w:left="0" w:firstLine="0"/>
        <w:spacing w:after="0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eastAsia="SimSun" w:cs="Mangal"/>
          <w:color w:val="00000a"/>
          <w:kern w:val="1"/>
          <w:szCs w:val="24"/>
          <w:lang w:bidi="hi-in"/>
        </w:rPr>
      </w:pP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АО "КАЛА-РАНТА" проектной мощностью 2500 тонн в год, </w:t>
      </w:r>
      <w:r>
        <w:rPr>
          <w:rFonts w:eastAsia="SimSun" w:cs="Mangal"/>
          <w:color w:val="00000a"/>
          <w:kern w:val="1"/>
          <w:szCs w:val="24"/>
          <w:lang w:bidi="hi-in"/>
        </w:rPr>
      </w:r>
    </w:p>
    <w:p>
      <w:pPr>
        <w:numPr>
          <w:ilvl w:val="0"/>
          <w:numId w:val="1"/>
        </w:numPr>
        <w:ind w:left="0" w:firstLine="0"/>
        <w:spacing w:after="0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eastAsia="SimSun" w:cs="Mangal"/>
          <w:color w:val="00000a"/>
          <w:kern w:val="1"/>
          <w:szCs w:val="24"/>
          <w:lang w:bidi="hi-in"/>
        </w:rPr>
      </w:pP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>ООО «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ФИШФОРЕЛЬ» проектной мощностью 1500 тонн в год, </w:t>
      </w:r>
      <w:r>
        <w:rPr>
          <w:rFonts w:eastAsia="SimSun" w:cs="Mangal"/>
          <w:color w:val="00000a"/>
          <w:kern w:val="1"/>
          <w:szCs w:val="24"/>
          <w:lang w:bidi="hi-in"/>
        </w:rPr>
      </w:r>
    </w:p>
    <w:p>
      <w:pPr>
        <w:numPr>
          <w:ilvl w:val="0"/>
          <w:numId w:val="1"/>
        </w:numPr>
        <w:ind w:left="0" w:firstLine="0"/>
        <w:spacing w:after="0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eastAsia="SimSun" w:cs="Mangal"/>
          <w:color w:val="00000a"/>
          <w:kern w:val="1"/>
          <w:szCs w:val="24"/>
          <w:lang w:bidi="hi-in"/>
        </w:rPr>
      </w:pP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ООО «Карельская форель» проектной мощностью 1381,8 тонн в год, </w:t>
      </w:r>
      <w:r>
        <w:rPr>
          <w:rFonts w:eastAsia="SimSun" w:cs="Mangal"/>
          <w:color w:val="00000a"/>
          <w:kern w:val="1"/>
          <w:szCs w:val="24"/>
          <w:lang w:bidi="hi-in"/>
        </w:rPr>
      </w:r>
    </w:p>
    <w:p>
      <w:pPr>
        <w:numPr>
          <w:ilvl w:val="0"/>
          <w:numId w:val="1"/>
        </w:numPr>
        <w:ind w:left="0" w:firstLine="0"/>
        <w:spacing w:after="0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eastAsia="SimSun" w:cs="Mangal"/>
          <w:color w:val="00000a"/>
          <w:kern w:val="1"/>
          <w:szCs w:val="24"/>
          <w:lang w:bidi="hi-in"/>
        </w:rPr>
      </w:pP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ЗАО "ВИРТА" проектной мощностью 12 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млн. молоди в год. </w:t>
      </w:r>
      <w:r>
        <w:rPr>
          <w:rFonts w:eastAsia="SimSun" w:cs="Mangal"/>
          <w:color w:val="00000a"/>
          <w:kern w:val="1"/>
          <w:szCs w:val="24"/>
          <w:lang w:bidi="hi-in"/>
        </w:rPr>
      </w:r>
    </w:p>
    <w:p>
      <w:pPr>
        <w:spacing w:after="0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eastAsia="SimSun" w:cs="Mangal"/>
          <w:color w:val="00000a"/>
          <w:kern w:val="1"/>
          <w:szCs w:val="24"/>
          <w:lang w:bidi="hi-in"/>
        </w:rPr>
      </w:pP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 xml:space="preserve">      На данных форелевых хозяйствах занято 140 человек. В 2018 году предприятиями выращено 3115 тонн радужной форели.</w:t>
      </w:r>
      <w:r>
        <w:rPr>
          <w:rFonts w:eastAsia="SimSun" w:cs="Mangal"/>
          <w:color w:val="00000a"/>
          <w:kern w:val="1"/>
          <w:szCs w:val="24"/>
          <w:lang w:bidi="hi-in"/>
        </w:rPr>
      </w:r>
    </w:p>
    <w:p>
      <w:pPr>
        <w:ind w:firstLine="850"/>
        <w:spacing w:after="0" w:line="240" w:lineRule="exact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Times New Roman"/>
          <w:kern w:val="1"/>
          <w:sz w:val="24"/>
          <w:szCs w:val="24"/>
          <w:lang w:bidi="hi-in"/>
        </w:rPr>
      </w:pP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>Дополнительно на территории района выращиванием рыбы занимаются ООО «</w:t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</w:r>
      <w:r>
        <w:rPr>
          <w:rFonts w:ascii="Times New Roman" w:hAnsi="Times New Roman" w:eastAsia="Times New Roman"/>
          <w:kern w:val="1"/>
          <w:sz w:val="24"/>
          <w:szCs w:val="24"/>
          <w:lang w:bidi="hi-in"/>
        </w:rPr>
        <w:t>Алдога» и ООО «Мастер». В 2018 году данными компаниями выращено 232,6 тонн рыбы.</w:t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       </w:t>
      </w:r>
      <w:r>
        <w:rPr>
          <w:rFonts w:ascii="Times New Roman" w:hAnsi="Times New Roman" w:eastAsia="Times New Roman"/>
          <w:sz w:val="24"/>
          <w:szCs w:val="24"/>
        </w:rPr>
        <w:t xml:space="preserve">Перспективы развития агропромышленного комплекса на селе, в первую очередь, связаны с малым и средним бизнесом, существование которого невозможно без государственной поддержки. 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iCs/>
          <w:sz w:val="24"/>
          <w:szCs w:val="24"/>
          <w:shd w:val="clear" w:fill="ffffff"/>
        </w:rPr>
        <w:t xml:space="preserve">6. Доля протяженности </w:t>
      </w:r>
      <w:r>
        <w:rPr>
          <w:rFonts w:ascii="Times New Roman" w:hAnsi="Times New Roman"/>
          <w:i/>
          <w:sz w:val="24"/>
          <w:szCs w:val="24"/>
        </w:rPr>
        <w:t>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SimSun"/>
          <w:kern w:val="1"/>
          <w:sz w:val="24"/>
          <w:szCs w:val="24"/>
        </w:rPr>
        <w:t xml:space="preserve">   Создание современной дорожно-транспортной сети является одним из факторов, обеспечивающих устойчивый рост экономики, выполнение социальных программ и, в конечном счете, улучшение качества жизни людей. </w:t>
      </w:r>
      <w:r>
        <w:rPr>
          <w:rFonts w:ascii="Times New Roman" w:hAnsi="Times New Roman" w:eastAsia="Times New Roman"/>
          <w:sz w:val="24"/>
          <w:szCs w:val="24"/>
        </w:rPr>
        <w:t xml:space="preserve">Общая протяженность автомобильных дорог общего пользования местного значения в районе по состоянию 90,2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 xml:space="preserve">км, из которых 76,7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 xml:space="preserve">км. с твердым покрытием.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Уменьшение показателя по сравнению с 2017 годом произошло на 2,2% за счет  проведенного ремонта участков автодорог в поселениях.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2018 году данный показатель составил 70,50 %. Снижение в 2018 году показателя по сравнению с 2017 годом обусловлено следующим: в 2018 году в целях содержания и ремонта дорог местного значения из бюджета Республики Карелия была выделена субсидия консолидированному бюджету Лахденпохского муниципального района в размере 3616 тысяч рублей на реализацию мероприятий государственной программы Республики Карелия «Развитие транспортной системы».</w:t>
      </w:r>
    </w:p>
    <w:p>
      <w:pPr>
        <w:ind w:firstLine="54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2021 году  </w:t>
      </w:r>
      <w:r>
        <w:rPr>
          <w:rFonts w:ascii="Times New Roman" w:hAnsi="Times New Roman" w:eastAsia="SimSun"/>
          <w:kern w:val="1"/>
          <w:sz w:val="24"/>
          <w:szCs w:val="24"/>
        </w:rPr>
        <w:t>ремонт автомобильных дорог в плановом периоде позволит показатель доли протяженности автомобильных дорог, не отвечающим нормативным требованиям,</w:t>
      </w:r>
      <w:r>
        <w:rPr>
          <w:rFonts w:ascii="Times New Roman" w:hAnsi="Times New Roman"/>
          <w:sz w:val="24"/>
          <w:szCs w:val="24"/>
        </w:rPr>
        <w:t xml:space="preserve"> снизить до 68,4%.</w:t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</w:p>
    <w:p>
      <w:pPr>
        <w:spacing w:after="0" w:line="240" w:lineRule="auto"/>
        <w:jc w:val="both"/>
        <w:rPr>
          <w:rFonts w:ascii="Times New Roman" w:hAnsi="Times New Roman" w:eastAsia="SimSun"/>
          <w:kern w:val="1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По-прежнему </w:t>
      </w:r>
      <w:r>
        <w:rPr>
          <w:rFonts w:ascii="Times New Roman" w:hAnsi="Times New Roman"/>
          <w:bCs/>
          <w:sz w:val="24"/>
          <w:szCs w:val="24"/>
        </w:rPr>
        <w:t xml:space="preserve">не имеют </w:t>
      </w:r>
      <w:r>
        <w:rPr>
          <w:rFonts w:ascii="Times New Roman" w:hAnsi="Times New Roman"/>
          <w:iCs/>
          <w:sz w:val="24"/>
          <w:szCs w:val="24"/>
        </w:rPr>
        <w:t>регулярного автобусного и (или) железнодорожного сообщения с административным центром муниципального района 14 отдаленных  населенных пунктов района,  в 8 из них  проживает  от 2 до 15 человек.  Всего не охвачено  регулярным  транспортным сообщением 1,34 тыс.</w:t>
      </w:r>
      <w:r>
        <w:rPr>
          <w:rFonts w:ascii="Times New Roman" w:hAnsi="Times New Roman"/>
          <w:bCs/>
          <w:sz w:val="24"/>
          <w:szCs w:val="24"/>
        </w:rPr>
        <w:t xml:space="preserve"> человек или 10,6% от общего количества проживающих. </w:t>
      </w:r>
      <w:r>
        <w:rPr>
          <w:rFonts w:ascii="Times New Roman" w:hAnsi="Times New Roman" w:eastAsia="SimSun"/>
          <w:kern w:val="1"/>
          <w:sz w:val="24"/>
          <w:szCs w:val="24"/>
        </w:rPr>
        <w:t>Одной из основных проблем в организации регулярных автобусных перевозок на пригородных (внутрирайонных) маршрутах является низкий пассажиропоток, что делает данные перевозки нерентабельными, приносит перевозчику убытки.</w:t>
      </w:r>
      <w:r>
        <w:rPr>
          <w:rFonts w:ascii="Times New Roman" w:hAnsi="Times New Roman" w:eastAsia="SimSun"/>
          <w:kern w:val="1"/>
          <w:sz w:val="20"/>
          <w:szCs w:val="20"/>
        </w:rPr>
        <w:t xml:space="preserve"> </w:t>
      </w:r>
      <w:r>
        <w:rPr>
          <w:rFonts w:ascii="Times New Roman" w:hAnsi="Times New Roman" w:eastAsia="SimSun"/>
          <w:kern w:val="1"/>
          <w:sz w:val="24"/>
          <w:szCs w:val="24"/>
        </w:rPr>
        <w:t xml:space="preserve"> </w:t>
      </w:r>
      <w:r>
        <w:rPr>
          <w:rFonts w:ascii="Times New Roman" w:hAnsi="Times New Roman" w:eastAsia="SimSun"/>
          <w:kern w:val="1"/>
          <w:sz w:val="24"/>
          <w:szCs w:val="24"/>
        </w:rPr>
        <w:t xml:space="preserve"> </w:t>
      </w:r>
      <w:r>
        <w:rPr>
          <w:rFonts w:ascii="Times New Roman" w:hAnsi="Times New Roman" w:eastAsia="SimSun"/>
          <w:kern w:val="1"/>
          <w:sz w:val="20"/>
          <w:szCs w:val="20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Доля населения, проживающего в населенных пунктах, не имеющих  транспортного сообщения, возможно, будет снижаться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  за </w:t>
      </w:r>
      <w:r>
        <w:rPr>
          <w:rFonts w:ascii="Times New Roman" w:hAnsi="Times New Roman"/>
          <w:bCs/>
          <w:sz w:val="24"/>
          <w:szCs w:val="24"/>
        </w:rPr>
        <w:t>счет миграции населения в другие населенные пункты района и естественной убыли населения.</w:t>
      </w:r>
      <w:r>
        <w:rPr>
          <w:bCs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Улучшение показателя в ближайшей перспективе не получится, в связи с отсутствием финансовых сре</w:t>
      </w:r>
      <w:r>
        <w:rPr>
          <w:rFonts w:ascii="Times New Roman" w:hAnsi="Times New Roman"/>
          <w:bCs/>
          <w:sz w:val="24"/>
          <w:szCs w:val="24"/>
        </w:rPr>
        <w:t>дств в б</w:t>
      </w:r>
      <w:r>
        <w:rPr>
          <w:rFonts w:ascii="Times New Roman" w:hAnsi="Times New Roman"/>
          <w:bCs/>
          <w:sz w:val="24"/>
          <w:szCs w:val="24"/>
        </w:rPr>
        <w:t>юджете района для предоставления субсидии перевозчику.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 нормативные правовые акты в сфере пассажирских перевозок Администрацией ЛМР разработаны и утверждены.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В районе продолжают оказание услуг по перевозке пассажиров альтернативные перевозчики – такси. По состоянию на 01.01.2019 года в районе зарегистрировано 6 предпринимателей занимающихся перевозкой пассажиров и багажа. </w:t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8.1 Среднемесячная номинальная начисленная заработная плата работников: крупных и средних предприятий и некоммерческих организаций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kern w:val="1"/>
          <w:sz w:val="24"/>
          <w:szCs w:val="24"/>
        </w:rPr>
      </w:pPr>
      <w:r>
        <w:rPr>
          <w:rFonts w:ascii="Times New Roman" w:hAnsi="Times New Roman" w:eastAsia="SimSun"/>
          <w:kern w:val="1"/>
          <w:sz w:val="24"/>
          <w:szCs w:val="24"/>
        </w:rPr>
        <w:t xml:space="preserve">    Ежегодно наблюдается рост уровня средней заработной платы работников крупных и средних предприятий.</w:t>
      </w:r>
    </w:p>
    <w:p>
      <w:pPr>
        <w:pStyle w:val="2"/>
        <w:ind w:left="0" w:firstLine="708"/>
        <w:spacing w:after="0" w:line="240" w:lineRule="auto"/>
        <w:jc w:val="both"/>
      </w:pPr>
      <w:r>
        <w:t>На крупных и средних предприятиях и некоммерческих организациях среднемесячная начисленная заработная плата за январь-декабрь  2018 года составила  32645,5 рублей и возросла по сравнению с уровнем  2017 года на 14,2%.</w:t>
      </w:r>
      <w:r>
        <w:rPr>
          <w:b/>
          <w:bCs/>
        </w:rPr>
        <w:t xml:space="preserve"> </w:t>
      </w:r>
      <w:r/>
    </w:p>
    <w:p>
      <w:pPr>
        <w:pStyle w:val="2"/>
        <w:ind w:left="0" w:firstLine="708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  <w:shd w:val="clear" w:fill="ffffff"/>
        </w:rPr>
        <w:t xml:space="preserve">8.2. Среднемесячная номинальная начисленная заработная плата работников: муниципальных </w:t>
      </w:r>
      <w:r>
        <w:rPr>
          <w:rFonts w:ascii="Times New Roman" w:hAnsi="Times New Roman" w:eastAsia="Times New Roman"/>
          <w:b/>
          <w:i/>
          <w:sz w:val="24"/>
          <w:szCs w:val="24"/>
          <w:shd w:val="clear" w:fill="ffffff"/>
        </w:rPr>
        <w:t>дошк</w:t>
      </w:r>
      <w:r>
        <w:rPr>
          <w:rFonts w:ascii="Times New Roman" w:hAnsi="Times New Roman" w:eastAsia="Times New Roman"/>
          <w:b/>
          <w:i/>
          <w:sz w:val="24"/>
          <w:szCs w:val="24"/>
        </w:rPr>
        <w:t>ольных</w:t>
      </w:r>
      <w:r>
        <w:rPr>
          <w:rFonts w:ascii="Times New Roman" w:hAnsi="Times New Roman" w:eastAsia="Times New Roman"/>
          <w:i/>
          <w:sz w:val="24"/>
          <w:szCs w:val="24"/>
        </w:rPr>
        <w:t xml:space="preserve"> образовательных учреждений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kern w:val="1"/>
          <w:sz w:val="24"/>
          <w:szCs w:val="24"/>
        </w:rPr>
      </w:pPr>
      <w:r>
        <w:rPr>
          <w:rFonts w:ascii="Times New Roman" w:hAnsi="Times New Roman" w:eastAsia="SimSun"/>
          <w:kern w:val="1"/>
          <w:sz w:val="24"/>
          <w:szCs w:val="24"/>
        </w:rPr>
        <w:t xml:space="preserve">     Основной задачей Администрации района в сфере заработной платы в 2018 году являлось достижение целевых показателей по средней заработной плате отдельных категорий работников муниципальных учреждений, повышение оплаты труда которых предусмотрено Указом Президента </w:t>
      </w:r>
      <w:r>
        <w:rPr>
          <w:rFonts w:ascii="Times New Roman" w:hAnsi="Times New Roman" w:eastAsia="SimSun"/>
          <w:kern w:val="1"/>
          <w:sz w:val="24"/>
          <w:szCs w:val="24"/>
        </w:rPr>
      </w:r>
      <w:r>
        <w:rPr>
          <w:rFonts w:ascii="Times New Roman" w:hAnsi="Times New Roman" w:eastAsia="SimSun"/>
          <w:kern w:val="1"/>
          <w:sz w:val="24"/>
          <w:szCs w:val="24"/>
        </w:rPr>
        <w:t>РФ от 07.05.2012 № 597 «О мероприятиях по реализации государственной социальной политики».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2018 году заработная плата  выросла на 30,9% по отношению к 2017 году и составила </w:t>
      </w:r>
      <w:r>
        <w:rPr>
          <w:rFonts w:ascii="Times New Roman" w:hAnsi="Times New Roman"/>
          <w:sz w:val="24"/>
          <w:szCs w:val="24"/>
        </w:rPr>
        <w:t>22440,41</w:t>
      </w:r>
      <w:r>
        <w:rPr>
          <w:rFonts w:ascii="Times New Roman" w:hAnsi="Times New Roman" w:eastAsia="Times New Roman"/>
          <w:sz w:val="24"/>
          <w:szCs w:val="24"/>
        </w:rPr>
        <w:t xml:space="preserve"> рублей. В 2019 г. планируется увеличение данного показателя на 8,6% по сравнению с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>2018г который составит 24373,42 рублей</w:t>
      </w:r>
      <w:r>
        <w:rPr>
          <w:rFonts w:ascii="Times New Roman" w:hAnsi="Times New Roman"/>
          <w:sz w:val="24"/>
          <w:szCs w:val="24"/>
        </w:rPr>
        <w:t>, на 2020 год 24 373,42 рублей, на 2021 год 27 313,00 рублей.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kern w:val="1"/>
          <w:sz w:val="24"/>
          <w:szCs w:val="24"/>
        </w:rPr>
      </w:pPr>
      <w:r>
        <w:rPr>
          <w:rFonts w:ascii="Times New Roman" w:hAnsi="Times New Roman" w:eastAsia="SimSun"/>
          <w:kern w:val="1"/>
          <w:sz w:val="24"/>
          <w:szCs w:val="24"/>
        </w:rPr>
        <w:t xml:space="preserve">        В бюджетной сфере проведены мероприятия, включающие в себя оптимизацию сети и организационно-штатные мероприятия.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u w:color="auto" w:val="single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 8.3. Среднемесячная номинальная начисленная заработная плата работников: муниципальных </w:t>
      </w:r>
      <w:r>
        <w:rPr>
          <w:rFonts w:ascii="Times New Roman" w:hAnsi="Times New Roman" w:eastAsia="Times New Roman"/>
          <w:b/>
          <w:i/>
          <w:sz w:val="24"/>
          <w:szCs w:val="24"/>
        </w:rPr>
        <w:t>общеобразовательных</w:t>
      </w:r>
      <w:r>
        <w:rPr>
          <w:rFonts w:ascii="Times New Roman" w:hAnsi="Times New Roman" w:eastAsia="Times New Roman"/>
          <w:i/>
          <w:sz w:val="24"/>
          <w:szCs w:val="24"/>
        </w:rPr>
        <w:t xml:space="preserve"> учреждений</w:t>
      </w:r>
      <w:r>
        <w:rPr>
          <w:rFonts w:ascii="Times New Roman" w:hAnsi="Times New Roman" w:eastAsia="Times New Roman"/>
          <w:sz w:val="24"/>
          <w:szCs w:val="24"/>
          <w:u w:color="auto" w:val="single"/>
        </w:rPr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2018 году наблюдается увеличение на 23,7  % по отношению к 2017 году и на 58,5% в сравнении с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 xml:space="preserve">2016г. (29363 р.) 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2019 г. планируется увеличение данного показателя на 4,7% по сравнению с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>2018г  и составит 30743 рубля.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В бюджетной сфере проведены мероприятия, включающие в себя оптимизацию сети и организационно-штатные мероприятия. 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 8.4. Среднемесячная номинальная начисленная заработная плата работников: учителей муниципальных общеобразовательных учреждений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2018 году по сравнению с 2017 г. увеличилась  на 6,7% и составила 34963 руб.  В 2019 г. планируется увеличение данного показателя на 4,7 % по сравнению с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>2018г  и составит 36606 рублей.</w:t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tbl>
      <w:tblPr>
        <w:tblW w:w="9360" w:type="dxa"/>
      </w:tblPr>
      <w:tblGrid>
        <w:gridCol w:w="144"/>
        <w:gridCol w:w="9216"/>
      </w:tblGrid>
      <w:tr>
        <w:trPr>
          <w:trHeight w:val="0" w:hRule="auto"/>
        </w:trPr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</w:p>
        </w:tc>
        <w:tc>
          <w:tcPr>
            <w:tcW w:w="921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8.5 Среднемесячная номинальная начисленная заработная плата работников: муниципальных учреждений культуры и искусства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Повышение заработной платы составило 32,4% и достигнуто за счет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 xml:space="preserve">оптимизационных мероприятий в учреждениях культуры и повышения заработной платы в связи с доведением до уровня, определенного в майских Указах Президента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>РФ.</w:t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8.6. Среднемесячная номинальная начисленная заработная плата работников: муниципальных учреждений физической культуры и спорта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Показатель имеет положительную динамику в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 xml:space="preserve">2016г -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 xml:space="preserve">2018г.  В 2018 году рост показателя к 2017 году составил 37,4%. К 2021 году 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  <w:t>прогнозное значение увеличится на 14,9 % и составит 34019 рублей.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kern w:val="1"/>
          <w:sz w:val="24"/>
          <w:szCs w:val="24"/>
        </w:rPr>
      </w:pPr>
      <w:r>
        <w:rPr>
          <w:rFonts w:ascii="Times New Roman" w:hAnsi="Times New Roman" w:eastAsia="SimSun"/>
          <w:kern w:val="1"/>
          <w:sz w:val="24"/>
          <w:szCs w:val="24"/>
        </w:rPr>
        <w:t xml:space="preserve">      В целях реализации Указов Президента </w:t>
      </w:r>
      <w:r>
        <w:rPr>
          <w:rFonts w:ascii="Times New Roman" w:hAnsi="Times New Roman" w:eastAsia="SimSun"/>
          <w:kern w:val="1"/>
          <w:sz w:val="24"/>
          <w:szCs w:val="24"/>
        </w:rPr>
      </w:r>
      <w:r>
        <w:rPr>
          <w:rFonts w:ascii="Times New Roman" w:hAnsi="Times New Roman" w:eastAsia="SimSun"/>
          <w:kern w:val="1"/>
          <w:sz w:val="24"/>
          <w:szCs w:val="24"/>
        </w:rPr>
        <w:t>РФ  в 2019 году продолжится оптимизация расходов в части фонда оплаты труда и будет включать в себя оптимизацию штата, сокращение неэффективных расходов, оптимизацию имущественного комплекса.</w:t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9. 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</w:t>
      </w:r>
      <w:r>
        <w:rPr>
          <w:rFonts w:ascii="Times New Roman" w:hAnsi="Times New Roman" w:eastAsia="Times New Roman"/>
          <w:sz w:val="24"/>
          <w:szCs w:val="24"/>
        </w:rPr>
        <w:t xml:space="preserve"> лет 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Показатель имеет положительную динамику на протяжении всего анализируемого периода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2015-2017гг.  В 2017 году –открыта дополнительная группа для детей раннего возраста в детском саду «Радуга» (г.Лахденпохья 20 чел). На протяжении учебного года проходит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>доукомплектование дошкольных групп.  В 2018 году дошкольные образовательные организации посещали 598 детей, из них 483 человека в возрасте от 3 до 7 лет(с учетом детей посещавших дошкольные группы при общеобразовательных организациях).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iCs/>
          <w:sz w:val="24"/>
          <w:szCs w:val="24"/>
          <w:shd w:val="clear" w:fill="ffffff"/>
        </w:rPr>
        <w:t xml:space="preserve">10. Доля детей в возрасте </w:t>
      </w:r>
      <w:r>
        <w:rPr>
          <w:rFonts w:ascii="Times New Roman" w:hAnsi="Times New Roman" w:eastAsia="Times New Roman"/>
          <w:i/>
          <w:sz w:val="24"/>
          <w:szCs w:val="24"/>
        </w:rPr>
        <w:t>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2018 году доля детей составила 15,59% и запланирована практически в таком же объеме до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2021г.  Благодаря созданию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АИС "Электронное образование" увеличилось количество заявлений для постановки на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учёт в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>ОО.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eastAsia="Times New Roman"/>
          <w:i/>
          <w:iCs/>
          <w:sz w:val="24"/>
          <w:szCs w:val="24"/>
          <w:shd w:val="clear" w:fill="ffffff"/>
        </w:rPr>
        <w:t>1. Доля</w:t>
      </w:r>
      <w:r>
        <w:rPr>
          <w:rFonts w:ascii="Times New Roman" w:hAnsi="Times New Roman" w:eastAsia="Times New Roman"/>
          <w:i/>
          <w:sz w:val="24"/>
          <w:szCs w:val="24"/>
        </w:rPr>
        <w:t xml:space="preserve"> муниципальных дошкольных образовательных учреждений, здания которых находятся в аварийном  состоянии или требуют капитального ремонта, в общем числе муниципальных дошкольных образовательных учреждений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Доля муниципальных дошкольных образовательных учреждений, здания которых требуют капитального ремонта, составила 50,0%,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т.к. в 2018 г. Управлением Федеральной службы по надзору в сфере защиты прав потребителей и благополучия человека по Республике Карелия Территориальным отделом в г. Сортавала,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Питкярантском, Лахденпохском и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Олонецком районах были выписаны предписания по устранению выявленных нарушений, а именно ремонт фасадов, замена оконных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>блоков, ремонт кровли, обеспечить целостность ограждения территории, обеспечить соблюдения к внутренней отделке помещений.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 году  5 человек не получили аттестат о среднем общем образовании (11 класс), что составило 6,76%. Все они обучались по очно – заочной форме.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итогам  2018 учебного года медали и аттестаты с отличием получили 9 человек, из них 4 ученика из Лахденпохской СОШ, 2 ученика из Куркиекской СОШ, 2 из Райватальской СОШ и 1 ученик из Элисенваарской СОШ. 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 учреждений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В 2018 году показатель увеличился на 7,9% в связи с переходом на ФГОС на основной ступени обучения. В ОО обновляется учебное оборудование, закупаются новые учебники.  Данный показатель будет расти дальше.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 учреждений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муниципальных общеобразовательных учреждений, здания которых требуют капитального ремонта, составила 71,42%, т.к. в 2017-2018 гг. Показатель снизился на 16,6% в 2018 году.  За счет выполнения ремонтных работ планируется ежегодное снижение показателя.</w:t>
      </w:r>
    </w:p>
    <w:p>
      <w:pPr>
        <w:ind w:firstLine="709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16. Доля детей первой и второй групп здоровья в общей численности, обучающихся в муниципальных общеобразовательных  учреждениях.</w:t>
      </w:r>
      <w:r>
        <w:rPr>
          <w:rFonts w:ascii="Times New Roman" w:hAnsi="Times New Roman" w:eastAsia="Times New Roman"/>
          <w:sz w:val="24"/>
          <w:szCs w:val="24"/>
        </w:rPr>
        <w:t xml:space="preserve">  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 году было отмечено увеличение численности детей 1 и 2 групп здоровья на 0,1%.  Во всех образовательных организациях активизировалась профилактическая работа в данном направлении, что позволило остановить увеличение, которое было отмечено по сравнению с 2016 годом. Большая работа ведется детскими педиатрами. В начальной школе по ФГОС введен дополнительный урок по физической культуре.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17. 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   Обучение во вторую смену в общеобразовательных учреждениях Лахденпохского муниципального района не предусмотрено (нет необходимости). 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18. Расходы бюджета муниципального образования на общее образование в расчете на 1 обучающегося в муниципальных общеобразовательных  учреждениях</w:t>
      </w:r>
      <w:r>
        <w:rPr>
          <w:rFonts w:ascii="Times New Roman" w:hAnsi="Times New Roman" w:eastAsia="Times New Roman"/>
          <w:sz w:val="24"/>
          <w:szCs w:val="24"/>
        </w:rPr>
        <w:t xml:space="preserve">      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Расходы на одного обучающегося в 2018 году составили 123,31 тыс. рублей в год. Увеличение расходов связано с ростом оплаты труда сотрудников образовательных учреждений.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19.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 в общей численности детей данной возрастной группы.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>
      <w:pPr>
        <w:ind w:firstLine="70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Организациями дополнительного образования охвачено 1096 ребенка, общеобразовательными организациями - 1120. Идет стабильный рост показателя: доля детей, получающих услуги по дополнительному образованию. Создаются новые объединения на основании анкетирования родителей, ведется контроль посещаемости кружков и секций. Все дети, перешедшие на ФГОС, охвачены дополнительным образованием.  С 2015 года рост составил 2%, данный показатель будет расти. Ведется работа по привлечению обучающихся старших классов в дополнительное образование.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20.1 Уровень фактической обеспеченности учреждениями культуры от нормативной потребности: клубами и учреждениями клубного типа</w:t>
      </w:r>
    </w:p>
    <w:p>
      <w:pPr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 соответствии с внесёнными изменениями распоряжением Правительства РФ от 26.01.2017 года № 95-р в социальные нормативы и нормы по обеспеченности населением организациями культуры по их видам (библиотеки, культурно-досуговые учреждения, музеи и т.д.) обеспеченность клубами и учреждениями клубного типа по району 133%. В каждом сельском поселении и в городском имеется культурно-досуговый центр.</w:t>
      </w:r>
    </w:p>
    <w:p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20.2 Уровень фактической обеспеченности учреждениями культуры от нормативной потребности: библиотеками.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kern w:val="1"/>
          <w:sz w:val="24"/>
          <w:szCs w:val="24"/>
        </w:rPr>
        <w:t>Обеспеченность на уровне 100% достигается за счет функционирования двух учреждений « Межпоселенчесская библиотека Лахденпохского района»,  «Библиотечный центр обслуживания, культуры и досуга города Лахденпохья».</w:t>
      </w:r>
      <w:r>
        <w:rPr>
          <w:rFonts w:ascii="Times New Roman" w:hAnsi="Times New Roman"/>
          <w:sz w:val="24"/>
          <w:szCs w:val="24"/>
        </w:rPr>
        <w:t xml:space="preserve"> В городском поселении – центральная городская библиотека со структурным подразделением детской библиотеки. В сельских поселениях библиотечное обслуживание осуществляет межпоселенческая библиотека. В каждом сельском поселении имеется библиотека.</w:t>
      </w:r>
    </w:p>
    <w:p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</w:r>
    </w:p>
    <w:p>
      <w:pPr>
        <w:spacing w:after="0" w:line="240" w:lineRule="auto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20.3 Уровень фактической обеспеченности учреждениями культуры от нормативной потребности: парками культуры и отдыха</w:t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Парки культуры и отдыха в районе отсутствуют.</w:t>
      </w:r>
    </w:p>
    <w:p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</w:r>
    </w:p>
    <w:tbl>
      <w:tblPr>
        <w:tblW w:w="9356" w:type="dxa"/>
      </w:tblPr>
      <w:tblGrid>
        <w:gridCol w:w="9356"/>
      </w:tblGrid>
      <w:tr>
        <w:trPr>
          <w:trHeight w:val="0" w:hRule="auto"/>
        </w:trPr>
        <w:tc>
          <w:tcPr>
            <w:tcW w:w="935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21.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/>
          <w:kern w:val="1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В сфере культуры остаются определенные проблемы, которые требуют целенаправленной работы по их решению – неудовлетворительное состояние зданий и помещений учреждений культуры, отсутствие водопровода, канализации и газификации почти во всех учреждениях.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2018 году составила 35,2%. 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Показатель не изменился по сравнению с </w:t>
      </w:r>
      <w:r>
        <w:rPr>
          <w:rFonts w:ascii="Times New Roman" w:hAnsi="Times New Roman" w:eastAsia="Times New Roman"/>
          <w:kern w:val="1"/>
          <w:sz w:val="24"/>
          <w:szCs w:val="24"/>
        </w:rPr>
        <w:t>2017г.  Ремонтных работ в учреждениях культуры не проводилось из за отсутствия финансовых средств на указанные цели.</w:t>
      </w:r>
      <w:r>
        <w:rPr>
          <w:rFonts w:ascii="Times New Roman" w:hAnsi="Times New Roman" w:eastAsia="Times New Roman"/>
          <w:kern w:val="1"/>
          <w:sz w:val="24"/>
          <w:szCs w:val="24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В ближайшей перспективе нам необходимо продолжать работу по возрождению традиционной народной культуры, формированию здорового образа жизни у населения и расширить спектр услуг культурной, творческой и библиотечной деятельности на территории района.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9384" w:type="dxa"/>
      </w:tblPr>
      <w:tblGrid>
        <w:gridCol w:w="144"/>
        <w:gridCol w:w="9240"/>
      </w:tblGrid>
      <w:tr>
        <w:trPr>
          <w:trHeight w:val="0" w:hRule="auto"/>
        </w:trPr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ind w:right="180"/>
              <w:spacing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</w:p>
        </w:tc>
        <w:tc>
          <w:tcPr>
            <w:tcW w:w="9240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</w:t>
      </w:r>
      <w:r>
        <w:rPr>
          <w:rFonts w:ascii="Times New Roman" w:hAnsi="Times New Roman" w:eastAsia="Times New Roman"/>
          <w:kern w:val="1"/>
          <w:sz w:val="24"/>
          <w:szCs w:val="24"/>
        </w:rPr>
        <w:t>Показатель не изменен. В казну</w:t>
      </w:r>
      <w:r>
        <w:rPr>
          <w:rFonts w:ascii="Liberation Serif" w:hAnsi="Liberation Serif" w:eastAsia="Times New Roman"/>
          <w:kern w:val="1"/>
          <w:sz w:val="24"/>
          <w:szCs w:val="24"/>
        </w:rPr>
        <w:t xml:space="preserve"> Л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ахденпохского района новых 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объектов культурного наследия не поступало. На существующих объектах реставрация не проводилась. На объекте «Лютеранская кирха» 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пос. 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Лумиваара, в настоящее время проводится консервация, которая 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ещё не завершена. </w:t>
      </w:r>
      <w:r>
        <w:rPr>
          <w:rFonts w:ascii="Times New Roman" w:hAnsi="Times New Roman" w:eastAsia="Times New Roman"/>
          <w:sz w:val="24"/>
          <w:szCs w:val="24"/>
        </w:rPr>
        <w:t xml:space="preserve"> К 2020 году планируется реконструкция данного объекта культурного наследия.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9336" w:type="dxa"/>
      </w:tblPr>
      <w:tblGrid>
        <w:gridCol w:w="144"/>
        <w:gridCol w:w="9192"/>
      </w:tblGrid>
      <w:tr>
        <w:trPr>
          <w:trHeight w:val="60" w:hRule="atLeast"/>
        </w:trPr>
        <w:tc>
          <w:tcPr>
            <w:tcW w:w="14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 xml:space="preserve"> </w:t>
            </w:r>
          </w:p>
        </w:tc>
        <w:tc>
          <w:tcPr>
            <w:tcW w:w="919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23. Доля населения, систематически занимающегося физической культурой и спортом</w:t>
            </w:r>
          </w:p>
          <w:p>
            <w:pPr>
              <w:spacing w:after="0" w:line="240" w:lineRule="auto"/>
              <w:jc w:val="both"/>
              <w:rPr>
                <w:rFonts w:ascii="Liberation Serif" w:hAnsi="Liberation Serif" w:eastAsia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kern w:val="1"/>
                <w:sz w:val="24"/>
                <w:szCs w:val="24"/>
              </w:rPr>
              <w:t xml:space="preserve">Показатель увеличен за счет расширения услуг на базе физкультурно-оздоровительного комплекса г. Лахденпохья , увеличения числа занимающихся в секциях не коммерческих клубов «Ладога спорт» и «Витязь», и школьных спортивных клубах поселка </w:t>
            </w:r>
            <w:r>
              <w:rPr>
                <w:rFonts w:ascii="Times New Roman" w:hAnsi="Times New Roman" w:eastAsia="Times New Roman"/>
                <w:kern w:val="1"/>
                <w:sz w:val="24"/>
                <w:szCs w:val="24"/>
              </w:rPr>
              <w:t>Мийнала, Элисенваара.</w:t>
            </w:r>
            <w:r>
              <w:rPr>
                <w:rFonts w:ascii="Liberation Serif" w:hAnsi="Liberation Serif" w:eastAsia="Times New Roman"/>
                <w:kern w:val="1"/>
                <w:sz w:val="24"/>
                <w:szCs w:val="24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С 2016 года в районе действует муниципальная программа «Физкультура и спорт в Лахденпохском муниципальном районе» на 2017 – 2021 годы. В программе предусмотрена финансовая поддержка на проведение мероприятий по созданию условий для занятий физической культурой и массовым спортом различным категориям граждан.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23.1. Доля обучающихся, систематически занимающихся физической культурой и спортом, в общей численности обучающихся.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Mangal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eastAsia="Mangal"/>
                <w:kern w:val="1"/>
                <w:sz w:val="24"/>
                <w:szCs w:val="24"/>
              </w:rPr>
              <w:t>Показатель в 2018 году увеличился на 9,6%. Увеличилось кол-во спортивных клубов при школах, секций спортивной направленности, любительских клубов (волейбол, баскетбол, хоккей).</w:t>
            </w:r>
            <w:r>
              <w:rPr>
                <w:rFonts w:ascii="Times New Roman" w:hAnsi="Times New Roman" w:eastAsia="Mangal"/>
                <w:kern w:val="1"/>
                <w:sz w:val="24"/>
                <w:szCs w:val="24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Во всех ОО от спортивной школы функционируют спортивные секции. 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fill="ffffff"/>
        </w:rPr>
      </w:pPr>
      <w:r>
        <w:rPr>
          <w:rFonts w:ascii="Times New Roman" w:hAnsi="Times New Roman"/>
          <w:i/>
          <w:sz w:val="24"/>
          <w:szCs w:val="24"/>
        </w:rPr>
        <w:t>24.</w:t>
      </w:r>
      <w:r>
        <w:rPr>
          <w:rFonts w:ascii="Times New Roman" w:hAnsi="Times New Roman"/>
          <w:i/>
          <w:sz w:val="24"/>
          <w:szCs w:val="24"/>
          <w:shd w:val="clear" w:fill="ffffff"/>
        </w:rPr>
        <w:t>Общая площадь жилых помещений, приходящаяся в среднем на одного жителя, всего.</w:t>
      </w:r>
      <w:r>
        <w:rPr>
          <w:rFonts w:ascii="Times New Roman" w:hAnsi="Times New Roman"/>
          <w:i/>
          <w:sz w:val="24"/>
          <w:szCs w:val="24"/>
          <w:shd w:val="clear" w:fill="ffffff"/>
        </w:rPr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kern w:val="1"/>
          <w:sz w:val="24"/>
          <w:szCs w:val="24"/>
        </w:rPr>
      </w:pPr>
      <w:r>
        <w:rPr>
          <w:rFonts w:ascii="Times New Roman" w:hAnsi="Times New Roman" w:eastAsia="SimSun"/>
          <w:kern w:val="1"/>
          <w:sz w:val="24"/>
          <w:szCs w:val="24"/>
        </w:rPr>
        <w:t xml:space="preserve">       Обеспечение граждан доступным и комфортным жильем – это безусловный приоритет социальной политики. Основным показателем, характеризующим обеспеченность населения района жильем и эффективность работы администрации района в сфере жилищного строительства обеспечения граждан жильем, является размер общей площади жилых помещений в расчет на одного жителя.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2018 году данный показатель составил 17,9 кв.м. и увеличился по сравнению с 2017 годом на 0,8 кв.м. Показатель рассчитывается по данным статистического отчета «1 – жилфонд».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24.1 </w:t>
      </w:r>
      <w:r>
        <w:rPr>
          <w:rFonts w:ascii="Times New Roman" w:hAnsi="Times New Roman"/>
          <w:i/>
          <w:sz w:val="24"/>
          <w:szCs w:val="24"/>
          <w:shd w:val="clear" w:fill="ffffff"/>
        </w:rPr>
        <w:t>Общая площадь жилых помещений, приходящаяся в среднем на одного жителя, всего, в том числе введенная в действие за один год.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2018 году введено в эксплуатацию 6163 кв.м. жилья, что в 1,8 раза больше чем в 2017 году, в том числе 6163 кв.м.- индивидуального жилищного строительства по ранее выданным разрешениям на строительство.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 w:eastAsia="Times New Roman"/>
          <w:sz w:val="24"/>
          <w:szCs w:val="24"/>
        </w:rPr>
        <w:t xml:space="preserve">Продолжается обеспечение жильем ветеранов Великой Отечественной войны, обеспечение жилыми помещениями детей сирот и детей, оставшихся без попечения родителей. </w:t>
      </w:r>
      <w:r>
        <w:rPr>
          <w:rFonts w:ascii="Times New Roman" w:hAnsi="Times New Roman"/>
          <w:sz w:val="24"/>
          <w:szCs w:val="24"/>
        </w:rPr>
        <w:t>Так же снизилась численность постоянно проживающего населения. Планируемое увеличение показателей в последующие годы связано с возобновлением строительства жилья для переселения граждан из ветхого и аварийного жилья.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25. Площадь земельных участков, предоставленных для строительства в расчете на 10 тыс. человек населения, - всего,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2018 году договоров на земельные участки согласно Закону Республики Карелия от 29 декабря 2015 года № 1980-ЗРК.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Снижение показателя по отношению к данным на 2017 год связано с уменьшением количества предоставленных земельных участков для строительства в 2018 году Министерством имущественных и земельных отношений Республики Карелия.      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на 2018 год составил 6,6 га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25.1 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2018 году договоров на земельные участки согласно Закону Республики Карелия от 29 декабря 2015 года № 1980-ЗРК.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Снижение показателя по отношению к данным на 2017 год связано с уменьшением количества предоставленных земельных участков для строительства в 2018 году Министерством имущественных и земельных отношений Республики Карелия.      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на 2018 год составил 6,6 га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Основными проблемами при предоставлении и дальнейшем освоении земельных участков для жилищного строительства являются: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необеспечение инженерной и транспортной инфраструктурой; </w:t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color="auto" w:val="single"/>
        </w:rPr>
      </w:pPr>
      <w:r>
        <w:rPr>
          <w:rFonts w:ascii="Times New Roman" w:hAnsi="Times New Roman"/>
          <w:b/>
          <w:sz w:val="24"/>
          <w:szCs w:val="24"/>
          <w:u w:color="auto" w:val="single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26.1 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объектов жилищного строительства - в течение 3 лет.</w:t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26.2 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иных объектов капитального строительства - в течение 5 лет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Показатель снизился ввиду увеличения количества ввода в эксплуатацию объектов жилищного строительства земельные участки для строительства, которых предоставлены в 2015 и в 2017 годах</w:t>
      </w:r>
      <w:r>
        <w:rPr>
          <w:rFonts w:ascii="Times New Roman" w:hAnsi="Times New Roman"/>
          <w:sz w:val="24"/>
          <w:szCs w:val="24"/>
          <w:shd w:val="clear" w:fill="ffffff"/>
        </w:rPr>
        <w:t>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Прогноз на последующие годы делается с учетом фактических показателей 2017, 2018 гг. с прогнозированием уменьшения площади земельных участков, в отношении которых не было получено разрешение на ввод объектов в эксплуатацию в течение 3-х и 5-и лет.      </w:t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27. </w:t>
      </w:r>
      <w:r>
        <w:rPr>
          <w:rFonts w:ascii="Times New Roman" w:hAnsi="Times New Roman"/>
          <w:i/>
          <w:sz w:val="24"/>
          <w:szCs w:val="24"/>
          <w:shd w:val="clear" w:fill="ffffff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</w:t>
      </w:r>
      <w:r>
        <w:rPr>
          <w:rFonts w:ascii="Times New Roman" w:hAnsi="Times New Roman"/>
          <w:i/>
          <w:sz w:val="24"/>
          <w:szCs w:val="24"/>
          <w:shd w:val="clear" w:fill="ffffff"/>
        </w:rPr>
        <w:t>авления данными домами</w:t>
      </w:r>
      <w:r>
        <w:rPr>
          <w:rFonts w:ascii="Times New Roman" w:hAnsi="Times New Roman"/>
          <w:i/>
          <w:sz w:val="24"/>
          <w:szCs w:val="24"/>
          <w:shd w:val="clear" w:fill="ffffff"/>
        </w:rPr>
      </w:r>
    </w:p>
    <w:p>
      <w:pPr>
        <w:spacing w:after="0" w:line="240" w:lineRule="auto"/>
        <w:jc w:val="both"/>
        <w:rPr>
          <w:rFonts w:ascii="Times New Roman" w:hAnsi="Times New Roman" w:eastAsia="SimSun"/>
          <w:kern w:val="1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eastAsia="SimSun"/>
          <w:kern w:val="1"/>
          <w:sz w:val="24"/>
          <w:szCs w:val="24"/>
        </w:rPr>
        <w:t xml:space="preserve">   Основной задачей местной власти было и остается – обеспечение населения качественными жилищно-коммунальными услугами. В соответствии с п. 1 </w:t>
      </w:r>
      <w:r>
        <w:rPr>
          <w:rFonts w:ascii="Times New Roman" w:hAnsi="Times New Roman" w:eastAsia="SimSun"/>
          <w:kern w:val="1"/>
          <w:sz w:val="24"/>
          <w:szCs w:val="24"/>
        </w:rPr>
        <w:t xml:space="preserve">ст. 161 </w:t>
      </w:r>
      <w:r>
        <w:rPr>
          <w:rFonts w:ascii="Times New Roman" w:hAnsi="Times New Roman" w:eastAsia="SimSun"/>
          <w:kern w:val="1"/>
          <w:sz w:val="24"/>
          <w:szCs w:val="24"/>
        </w:rPr>
        <w:t xml:space="preserve">ЖК </w:t>
      </w:r>
      <w:r>
        <w:rPr>
          <w:rFonts w:ascii="Times New Roman" w:hAnsi="Times New Roman" w:eastAsia="SimSun"/>
          <w:kern w:val="1"/>
          <w:sz w:val="24"/>
          <w:szCs w:val="24"/>
        </w:rPr>
        <w:t>РФ управление многоквартирными домами должно обеспечивать благоприятные и безопасные условия проживания граждан, надлежащее содержание общего имущества, решение вопросов пользования указанным имуществом, а также предоставление коммунальных услуг гражданам, проживающим в таком доме.</w:t>
      </w:r>
      <w:r>
        <w:rPr>
          <w:rFonts w:ascii="Times New Roman" w:hAnsi="Times New Roman" w:eastAsia="SimSun"/>
          <w:kern w:val="1"/>
          <w:sz w:val="20"/>
          <w:szCs w:val="20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Рост данного показателя в 2018 году на 1,4 процентных пункта по сравнению с 2017 годом обусловлен проводимой работой по определению способа управления многоквартирными домами. </w:t>
      </w:r>
    </w:p>
    <w:p>
      <w:pPr>
        <w:ind w:firstLine="56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2018 году Администрацией проведен конкурс по отбору управляющей компании для управления многоквартирными домами на территории Элисенваарского  и Куркиекского сельских поселений.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28. </w:t>
      </w:r>
      <w:r>
        <w:rPr>
          <w:rFonts w:ascii="Times New Roman" w:hAnsi="Times New Roman"/>
          <w:i/>
          <w:sz w:val="24"/>
          <w:szCs w:val="24"/>
          <w:shd w:val="clear" w:fill="ffffff"/>
        </w:rPr>
        <w:t xml:space="preserve">Доля организаций коммунального комплекса, осуществляющих производство товаров, оказание услуг по </w:t>
      </w:r>
      <w:r>
        <w:rPr>
          <w:rFonts w:ascii="Times New Roman" w:hAnsi="Times New Roman"/>
          <w:i/>
          <w:sz w:val="24"/>
          <w:szCs w:val="24"/>
          <w:shd w:val="clear" w:fill="ffffff"/>
        </w:rPr>
        <w:t>водо-, тепл</w:t>
      </w:r>
      <w:r>
        <w:rPr>
          <w:rFonts w:ascii="Times New Roman" w:hAnsi="Times New Roman"/>
          <w:i/>
          <w:sz w:val="24"/>
          <w:szCs w:val="24"/>
          <w:shd w:val="clear" w:fill="ffffff"/>
        </w:rPr>
        <w:t>о-</w:t>
      </w:r>
      <w:r>
        <w:rPr>
          <w:rFonts w:ascii="Times New Roman" w:hAnsi="Times New Roman"/>
          <w:i/>
          <w:sz w:val="24"/>
          <w:szCs w:val="24"/>
          <w:shd w:val="clear" w:fill="ffffff"/>
        </w:rPr>
        <w:t xml:space="preserve">, </w:t>
      </w:r>
      <w:r>
        <w:rPr>
          <w:rFonts w:ascii="Times New Roman" w:hAnsi="Times New Roman"/>
          <w:i/>
          <w:sz w:val="24"/>
          <w:szCs w:val="24"/>
          <w:shd w:val="clear" w:fill="ffffff"/>
        </w:rPr>
        <w:t xml:space="preserve">газо-, электроснабжению, </w:t>
      </w:r>
      <w:r>
        <w:rPr>
          <w:rFonts w:ascii="Times New Roman" w:hAnsi="Times New Roman"/>
          <w:i/>
          <w:sz w:val="24"/>
          <w:szCs w:val="24"/>
          <w:shd w:val="clear" w:fill="ffffff"/>
        </w:rPr>
        <w:t xml:space="preserve">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r>
        <w:rPr>
          <w:rFonts w:ascii="Times New Roman" w:hAnsi="Times New Roman"/>
          <w:i/>
          <w:sz w:val="24"/>
          <w:szCs w:val="24"/>
          <w:shd w:val="clear" w:fill="ffffff"/>
        </w:rPr>
        <w:t>осуществляющих</w:t>
      </w:r>
      <w:r>
        <w:rPr>
          <w:rFonts w:ascii="Times New Roman" w:hAnsi="Times New Roman"/>
          <w:i/>
          <w:sz w:val="24"/>
          <w:szCs w:val="24"/>
          <w:shd w:val="clear" w:fill="ffffff"/>
        </w:rPr>
        <w:t xml:space="preserve"> свою деятельность на территории городского округа (муниципального района)</w:t>
      </w:r>
      <w:r>
        <w:rPr>
          <w:rFonts w:ascii="Times New Roman" w:hAnsi="Times New Roman"/>
          <w:i/>
          <w:sz w:val="24"/>
          <w:szCs w:val="24"/>
          <w:shd w:val="clear" w:fill="ffffff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сфере водоснабжения и водоотведения района ситуация остается очень сложной. </w:t>
      </w:r>
      <w:r>
        <w:rPr>
          <w:rFonts w:ascii="Times New Roman" w:hAnsi="Times New Roman" w:eastAsia="Times New Roman"/>
          <w:sz w:val="24"/>
          <w:szCs w:val="24"/>
        </w:rPr>
        <w:t xml:space="preserve">На территории района действуют 2  организации коммунального комплекса (ООО «Лахденпохский водоканал» и МУП «Дружба»), оказывающие услуги по водоснабжению и водоотведению. </w:t>
      </w:r>
      <w:r>
        <w:rPr>
          <w:rFonts w:ascii="Times New Roman" w:hAnsi="Times New Roman"/>
          <w:sz w:val="24"/>
          <w:szCs w:val="24"/>
          <w:shd w:val="clear" w:fill="ffffff"/>
        </w:rPr>
        <w:t xml:space="preserve">Сбор и вывоз </w:t>
      </w:r>
      <w:r>
        <w:rPr>
          <w:rFonts w:ascii="Times New Roman" w:hAnsi="Times New Roman" w:eastAsia="Times New Roman"/>
          <w:sz w:val="24"/>
          <w:szCs w:val="24"/>
        </w:rPr>
        <w:t>твердых бытовых отходов осуществляет ООО «Автоспецтранс»</w:t>
      </w:r>
      <w:r>
        <w:rPr>
          <w:rFonts w:ascii="Times New Roman" w:hAnsi="Times New Roman" w:eastAsia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4"/>
          <w:szCs w:val="24"/>
          <w:shd w:val="clear" w:fill="ffffff"/>
        </w:rPr>
        <w:t>Показатель №28 составляет 50%.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В целях повышения эффективности деятельности системы жилищно-коммунального хозяйства необходимо своевременно производить ремонтные работы сетей коммунальных ресурсов, что позволит снизить потери при транспортировке и использовании ресурсов</w:t>
      </w:r>
      <w:r>
        <w:rPr>
          <w:rFonts w:ascii="Times New Roman" w:hAnsi="Times New Roman" w:eastAsia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fill="ffffff"/>
        </w:rPr>
      </w:pPr>
      <w:r>
        <w:rPr>
          <w:rFonts w:ascii="Times New Roman" w:hAnsi="Times New Roman"/>
          <w:sz w:val="24"/>
          <w:szCs w:val="24"/>
          <w:shd w:val="clear" w:fill="ffffff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29. </w:t>
      </w:r>
      <w:r>
        <w:rPr>
          <w:rFonts w:ascii="Times New Roman" w:hAnsi="Times New Roman" w:eastAsia="Times New Roman"/>
          <w:i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>
        <w:rPr>
          <w:rFonts w:ascii="Times New Roman" w:hAnsi="Times New Roman" w:eastAsia="Times New Roman"/>
          <w:i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2018 году данный показатель не изменился, по сравнению с 2017 годом, и в прогнозируемом периоде не изменится. Собственники помещений в многоквартирных домах проводят работу по постановке на кадастровый учет земельных участков, на которых расположены многоквартирные дома. 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30. </w:t>
      </w:r>
      <w:r>
        <w:rPr>
          <w:rFonts w:ascii="Times New Roman" w:hAnsi="Times New Roman"/>
          <w:i/>
          <w:sz w:val="24"/>
          <w:szCs w:val="24"/>
          <w:shd w:val="clear" w:fill="ffffff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r>
        <w:rPr>
          <w:rFonts w:ascii="Times New Roman" w:hAnsi="Times New Roman" w:eastAsia="Times New Roman"/>
          <w:i/>
          <w:sz w:val="24"/>
          <w:szCs w:val="24"/>
        </w:rPr>
      </w:r>
    </w:p>
    <w:p>
      <w:pPr>
        <w:ind w:firstLine="142"/>
        <w:spacing w:after="0" w:line="240" w:lineRule="auto"/>
        <w:jc w:val="both"/>
        <w:rPr>
          <w:rFonts w:ascii="Times New Roman" w:hAnsi="Times New Roman" w:eastAsia="Times New Roman"/>
          <w:i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Увеличение показателя в 2017 году на 16,1% по сравнению с показателем 2016 года, обусловлено переселением граждан по программе переселения граждан из аварийного жилья.</w:t>
      </w:r>
      <w:r>
        <w:t xml:space="preserve"> </w:t>
      </w:r>
      <w:r>
        <w:rPr>
          <w:rFonts w:ascii="Times New Roman" w:hAnsi="Times New Roman" w:eastAsia="Times New Roman"/>
          <w:sz w:val="24"/>
          <w:szCs w:val="24"/>
        </w:rPr>
        <w:t>Количество семей, состоящих на учете в качестве нуждающихся в улучшении жилищных условий</w:t>
      </w:r>
      <w:r>
        <w:rPr>
          <w:rFonts w:ascii="Times New Roman" w:hAnsi="Times New Roman" w:eastAsia="Times New Roman"/>
          <w:i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>составляет - 499</w:t>
      </w:r>
      <w:r>
        <w:rPr>
          <w:rFonts w:ascii="Times New Roman" w:hAnsi="Times New Roman" w:eastAsia="Times New Roman"/>
          <w:i/>
          <w:sz w:val="26"/>
          <w:szCs w:val="26"/>
        </w:rPr>
        <w:t xml:space="preserve">. </w:t>
      </w:r>
      <w:r>
        <w:rPr>
          <w:rFonts w:ascii="Times New Roman" w:hAnsi="Times New Roman" w:eastAsia="Times New Roman"/>
          <w:sz w:val="24"/>
          <w:szCs w:val="24"/>
        </w:rPr>
        <w:t>Количество семей, улучшивших жилищные условия за 2018 год</w:t>
      </w:r>
      <w:r>
        <w:rPr>
          <w:rFonts w:ascii="Times New Roman" w:hAnsi="Times New Roman" w:eastAsia="Times New Roman"/>
          <w:sz w:val="24"/>
          <w:szCs w:val="24"/>
        </w:rPr>
        <w:t xml:space="preserve">  - 45. Показатель - 9,0%.</w:t>
      </w:r>
      <w:r>
        <w:rPr>
          <w:rFonts w:ascii="Times New Roman" w:hAnsi="Times New Roman" w:eastAsia="Times New Roman"/>
          <w:i/>
          <w:sz w:val="26"/>
          <w:szCs w:val="26"/>
        </w:rPr>
        <w:t xml:space="preserve"> </w:t>
      </w:r>
      <w:r>
        <w:rPr>
          <w:rFonts w:ascii="Times New Roman" w:hAnsi="Times New Roman" w:eastAsia="Times New Roman"/>
          <w:i/>
          <w:sz w:val="26"/>
          <w:szCs w:val="26"/>
        </w:rPr>
      </w:r>
    </w:p>
    <w:p>
      <w:pPr>
        <w:spacing w:after="0" w:line="240" w:lineRule="auto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  <w:shd w:val="clear" w:fill="ffffff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>
        <w:rPr>
          <w:i/>
        </w:rPr>
      </w:r>
    </w:p>
    <w:p>
      <w:pPr>
        <w:spacing w:after="0" w:line="240" w:lineRule="auto"/>
        <w:jc w:val="both"/>
        <w:rPr>
          <w:rFonts w:ascii="Times New Roman" w:hAnsi="Times New Roman" w:eastAsia="SimSun"/>
          <w:kern w:val="1"/>
          <w:sz w:val="20"/>
          <w:szCs w:val="20"/>
        </w:rPr>
      </w:pPr>
      <w:r>
        <w:rPr>
          <w:rFonts w:ascii="Times New Roman" w:hAnsi="Times New Roman" w:eastAsia="Times New Roman"/>
          <w:color w:val="00000a"/>
          <w:kern w:val="1"/>
          <w:sz w:val="28"/>
          <w:szCs w:val="28"/>
        </w:rPr>
        <w:t xml:space="preserve"> 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      </w:t>
      </w:r>
      <w:r>
        <w:rPr>
          <w:rFonts w:ascii="Times New Roman" w:hAnsi="Times New Roman" w:eastAsia="SimSun"/>
          <w:kern w:val="1"/>
          <w:sz w:val="24"/>
          <w:szCs w:val="24"/>
        </w:rPr>
        <w:t>В 2018 году бюджетная и налоговая политика района была направлена на сохранение и развитие доходного потенциала, сокращение бюджетных расходов и предоставление муниципальных услуг, обеспечение долгосрочной сбалансированности и устойчивости бюджета района, совершенствование межбюджетных отношений.</w:t>
      </w:r>
      <w:r>
        <w:rPr>
          <w:rFonts w:ascii="Times New Roman" w:hAnsi="Times New Roman" w:eastAsia="SimSun"/>
          <w:kern w:val="1"/>
          <w:sz w:val="20"/>
          <w:szCs w:val="20"/>
        </w:rPr>
      </w:r>
    </w:p>
    <w:p>
      <w:pPr>
        <w:spacing w:after="0" w:line="240" w:lineRule="auto"/>
        <w:jc w:val="both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       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Основной удельный вес в доходах бюджета (76%) занимали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>межбюджетные трансферты из которых 37% - это средства, полученные бюджетом Лахденпохского муниципального района на обеспечение переданных государственных полномочий и расходных обязательств бюджета Республики Карелия (субвенции).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r>
    </w:p>
    <w:p>
      <w:pPr>
        <w:spacing w:after="0" w:line="252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ab/>
        <w:t>Объем собственных доходов бюджета Лахденпохского муниципального района на 2018 год при первичном утверждении бюджета составлял 102 млн. рублей и в течение года был доведен до размера 113 млн. рублей, таким образом, рост в течение года составил 11 млн. рублей или 11 процентов.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eastAsia="SimSun" w:cs="Mangal"/>
          <w:color w:val="00000a"/>
          <w:kern w:val="1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    Наибольший удельный вес (54%) в структуре собственных доходов по прежнему занимает налог на доходы физических лиц, плановые назначения  исполнены на 102 процента. В сравнении с аналогичным периодом 2017 года поступление налога на доходы физических лиц увеличилось более чем на 10 млн. рублей или 20 процентов.</w:t>
      </w:r>
      <w:r>
        <w:rPr>
          <w:rFonts w:eastAsia="SimSun" w:cs="Mangal"/>
          <w:color w:val="00000a"/>
          <w:kern w:val="1"/>
          <w:szCs w:val="24"/>
          <w:lang w:bidi="hi-in"/>
        </w:rPr>
      </w:r>
    </w:p>
    <w:p>
      <w:pPr>
        <w:ind w:firstLine="708"/>
        <w:spacing w:after="0" w:line="240" w:lineRule="auto"/>
        <w:jc w:val="both"/>
        <w:suppressAutoHyphens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Крупнейшими налогоплательщиками на территории Лахденпохского муниципального района являются ООО «Карельская фанера», ГБУЗ «Сортавальская ЦРБ», ООО «Норд Лизинг», ОМВД России по Лахденпохскому району, АО «Кала-Ранта», ООО «Гранит», ЗАО «Норд ИнтерХауз»,  МКОУ «Лахденпохская средняя школа», АО  ООО «Петербургтеплоэнерго», Октябрьская железная дорога. Данные предприятия обеспечили 34% налоговых доходов бюджета Лахденпохского муниципального района. </w:t>
      </w:r>
    </w:p>
    <w:p>
      <w:pPr>
        <w:spacing w:after="0" w:line="240" w:lineRule="auto"/>
        <w:jc w:val="both"/>
        <w:widowControl w:val="0"/>
        <w:tabs>
          <w:tab w:val="left" w:pos="709" w:leader="none"/>
        </w:tabs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ab/>
        <w:t>В сравнении с 2017 годом объем поступления налоговых и неналоговых доходов в бюджет Лахденпохского муниципального района увеличился на 9 процентов, объем безвозмездных поступлений вырос на 47 процентов.</w:t>
      </w:r>
    </w:p>
    <w:p>
      <w:pPr>
        <w:ind w:firstLine="709"/>
        <w:spacing w:after="0" w:line="240" w:lineRule="auto"/>
        <w:jc w:val="both"/>
        <w:widowControl w:val="0"/>
        <w:tabs>
          <w:tab w:val="left" w:pos="709" w:leader="none"/>
        </w:tabs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Исполнение бюджета Лахденпохского муниципального района за 2018 год в целом по доходной части обеспечено на 471 млн. рублей или на 97 процента к уточнённым плановым назначениям, в том числе объём собственных доходов бюджета района исполнен в сумме 112 млн. рублей или на 100 процентов от плановых назначений. </w:t>
      </w:r>
    </w:p>
    <w:p>
      <w:pPr>
        <w:spacing w:after="0" w:line="240" w:lineRule="auto"/>
        <w:jc w:val="both"/>
        <w:suppressAutoHyphens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Times New Roman"/>
          <w:kern w:val="1"/>
          <w:sz w:val="24"/>
          <w:szCs w:val="24"/>
        </w:rPr>
      </w:pPr>
      <w:r>
        <w:rPr>
          <w:rFonts w:ascii="Liberation Serif" w:hAnsi="Liberation Serif" w:eastAsia="Mangal" w:cs="Liberation Serif"/>
          <w:kern w:val="1"/>
          <w:sz w:val="24"/>
          <w:szCs w:val="24"/>
        </w:rPr>
        <w:t xml:space="preserve">     </w:t>
      </w:r>
      <w:r>
        <w:rPr>
          <w:rFonts w:ascii="Times New Roman" w:hAnsi="Times New Roman" w:eastAsia="Times New Roman"/>
          <w:kern w:val="1"/>
          <w:sz w:val="24"/>
          <w:szCs w:val="24"/>
        </w:rPr>
        <w:t>П</w:t>
      </w:r>
      <w:r>
        <w:rPr>
          <w:rFonts w:ascii="Times New Roman" w:hAnsi="Times New Roman" w:eastAsia="Times New Roman"/>
          <w:kern w:val="1"/>
          <w:sz w:val="24"/>
          <w:szCs w:val="24"/>
        </w:rPr>
        <w:t xml:space="preserve">о сравнению с 2017 годом показатель 2018 года снизился на 16,1 процентных пункта в связи с  увеличением объема субсидий. </w:t>
      </w:r>
      <w:r>
        <w:rPr>
          <w:rFonts w:ascii="Times New Roman" w:hAnsi="Times New Roman" w:eastAsia="Times New Roman"/>
          <w:kern w:val="1"/>
          <w:sz w:val="24"/>
          <w:szCs w:val="24"/>
        </w:rPr>
      </w:r>
    </w:p>
    <w:p>
      <w:pPr>
        <w:spacing w:after="0" w:line="240" w:lineRule="auto"/>
        <w:jc w:val="both"/>
        <w:suppressAutoHyphens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Times New Roman"/>
          <w:kern w:val="1"/>
          <w:sz w:val="24"/>
          <w:szCs w:val="24"/>
        </w:rPr>
      </w:pPr>
      <w:r>
        <w:rPr>
          <w:rFonts w:ascii="Times New Roman" w:hAnsi="Times New Roman" w:eastAsia="Times New Roman"/>
          <w:kern w:val="1"/>
          <w:sz w:val="24"/>
          <w:szCs w:val="24"/>
        </w:rPr>
        <w:t xml:space="preserve">      Снижение показателя на 2019 - 2021 годы планируется увеличение объема  собственных доходов. Общий объем  запланированных на 2020 и 2021 годы, сформирован без учета полного перечня планируемых из бюджета Республики Карелия субсидий на софинансирование расходных обязательств при выполнении полномочий органов местного самоуправления  по вопросу местного  значения.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eastAsia="SimSun" w:cs="Mangal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kern w:val="1"/>
          <w:sz w:val="24"/>
          <w:szCs w:val="24"/>
        </w:rPr>
        <w:t xml:space="preserve">       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В 2018 году продолжала действовать программа «Оздоровление муниципальных финансов Лахденпохского муниципального района на 2017-2019 годы». Были внесены изменения в мероприятия по оздоровлению муниципальных финансов Лахденпохского муниципального района, в соответствии с которыми бюджетный эффект  в 2018 году составит 13,542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>млн. рублей. Срок действия данной программы продлен до 2020 года.</w:t>
      </w:r>
      <w:r>
        <w:rPr>
          <w:rFonts w:eastAsia="SimSun" w:cs="Mangal"/>
          <w:color w:val="00000a"/>
          <w:kern w:val="1"/>
          <w:sz w:val="24"/>
          <w:szCs w:val="24"/>
          <w:lang w:bidi="hi-in"/>
        </w:rPr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eastAsia="SimSun" w:cs="Mangal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ab/>
        <w:t>Основной вклад в достижение бюджетного эффекта (в 2018 году он составил — 15,881 млн. рублей или 117,26% от утвержденного плана)  программы «Оздоровление муниципальных финансов Лахденпохского муниципального района на 2017-2019 годы» обеспечили мероприятия:</w:t>
      </w:r>
      <w:r>
        <w:rPr>
          <w:rFonts w:eastAsia="SimSun" w:cs="Mangal"/>
          <w:color w:val="00000a"/>
          <w:kern w:val="1"/>
          <w:sz w:val="24"/>
          <w:szCs w:val="24"/>
          <w:lang w:bidi="hi-in"/>
        </w:rPr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>-</w:t>
        <w:tab/>
        <w:t xml:space="preserve"> по повышению собираемости доходов  с бюджетным эффектом 3,827 млн. рублей.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>-</w:t>
        <w:tab/>
        <w:t xml:space="preserve"> оптимизация бюджетной сети  с бюджетным эффектом 2,82 млн. руб.  рублей.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>-</w:t>
        <w:tab/>
        <w:t>сокращение расходов на муниципальное управление(сокращение расходов на заработную плату с начислениями АЛМР, незамещение вакантных должностей), сокращение расходов к уровню 2017 года на 2,0 млн. рублей.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>-</w:t>
        <w:tab/>
        <w:t>организация претензионной работы с гражданами и юридическими лицами, арендаторами муниципального имущества и земельных участков бюджетный эффект составил 1,835 млн.рублей.</w:t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01.01.2019 года данный показатель в Лахденпохском районе равен 0.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33.</w:t>
      </w:r>
      <w:r>
        <w:rPr>
          <w:rFonts w:ascii="Times New Roman" w:hAnsi="Times New Roman"/>
          <w:i/>
          <w:sz w:val="24"/>
          <w:szCs w:val="24"/>
          <w:shd w:val="clear" w:fill="ffffff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  <w:r>
        <w:rPr>
          <w:rFonts w:ascii="Times New Roman" w:hAnsi="Times New Roman" w:eastAsia="Times New Roman"/>
          <w:i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fill="ffffff"/>
        </w:rPr>
      </w:pPr>
      <w:r>
        <w:rPr>
          <w:rFonts w:ascii="Times New Roman" w:hAnsi="Times New Roman"/>
          <w:sz w:val="24"/>
          <w:szCs w:val="24"/>
          <w:shd w:val="clear" w:fill="ffffff"/>
        </w:rPr>
        <w:t xml:space="preserve">        Не завершенное в установленные сроки строительство, осуществляемое за счет средств бюджета муниципального района отсутствует. Показатель за 2018 год составил 995,58 тыс.руб. так как выявлено незавершенное строительство спортивного корпуса в Элисенваарской школе.  Финансирование было долевым - республиканский бюджет и местный. Строительство прекращено в связи с отсутствием финансирования.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fill="ffffff"/>
        </w:rPr>
      </w:pPr>
      <w:r>
        <w:rPr>
          <w:rFonts w:ascii="Times New Roman" w:hAnsi="Times New Roman"/>
          <w:i/>
          <w:sz w:val="24"/>
          <w:szCs w:val="24"/>
          <w:shd w:val="clear" w:fill="ffffff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>
      <w:pPr>
        <w:spacing w:after="0" w:line="240" w:lineRule="auto"/>
        <w:jc w:val="both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shd w:val="clear" w:fill="ffffff"/>
        </w:rPr>
        <w:t xml:space="preserve">         Данный показатель за 2018 год составляет 0%. </w:t>
      </w:r>
      <w:r>
        <w:rPr>
          <w:rFonts w:ascii="Liberation Serif" w:hAnsi="Liberation Serif" w:eastAsia="Mangal" w:cs="Liberation Serif"/>
          <w:kern w:val="1"/>
          <w:sz w:val="24"/>
          <w:szCs w:val="24"/>
        </w:rPr>
        <w:t xml:space="preserve">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В 2018 году Министерством финансов РК району была оказана финансовая помощь в виде субсидии на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сбалансированность бюджетам муниципальных образований 11,5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млн. рублей и дотации на поддержку мер по обеспечению сбалансированности бюджетам муниципальных образований 36,5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млн. рублей. Данные средства были направлены на выплату заработной платы работникам бюджетной сферы и на погашение кредиторской задолженности по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>страховым взносам и коммунальным услугам.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fill="ffffff"/>
        </w:rPr>
      </w:pPr>
      <w:r>
        <w:rPr>
          <w:rFonts w:ascii="Times New Roman" w:hAnsi="Times New Roman"/>
          <w:sz w:val="24"/>
          <w:szCs w:val="24"/>
          <w:shd w:val="clear" w:fill="ffffff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fill="ffffff"/>
        </w:rPr>
      </w:pPr>
      <w:r>
        <w:rPr>
          <w:rFonts w:ascii="Times New Roman" w:hAnsi="Times New Roman"/>
          <w:i/>
          <w:sz w:val="24"/>
          <w:szCs w:val="24"/>
          <w:shd w:val="clear" w:fill="ffffff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>
      <w:pPr>
        <w:spacing w:after="0" w:line="240" w:lineRule="auto"/>
        <w:jc w:val="both"/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shd w:val="clear" w:fill="ffffff"/>
        </w:rPr>
        <w:t xml:space="preserve">       За 2018 год показатель составил 2025 рублей. </w:t>
      </w:r>
      <w:r>
        <w:rPr>
          <w:rFonts w:ascii="Liberation Serif" w:hAnsi="Liberation Serif" w:eastAsia="Mangal" w:cs="Liberation Serif"/>
          <w:kern w:val="1"/>
          <w:sz w:val="24"/>
          <w:szCs w:val="24"/>
        </w:rPr>
        <w:t xml:space="preserve"> П</w:t>
      </w:r>
      <w:r>
        <w:rPr>
          <w:rFonts w:ascii="Liberation Serif" w:hAnsi="Liberation Serif" w:eastAsia="Mangal" w:cs="Liberation Serif"/>
          <w:kern w:val="1"/>
          <w:sz w:val="24"/>
          <w:szCs w:val="24"/>
        </w:rPr>
        <w:t>роизошло у</w:t>
      </w:r>
      <w:r>
        <w:rPr>
          <w:rFonts w:ascii="Liberation Serif" w:hAnsi="Liberation Serif" w:eastAsia="Mangal" w:cs="Liberation Serif"/>
          <w:kern w:val="1"/>
          <w:sz w:val="24"/>
          <w:szCs w:val="24"/>
        </w:rPr>
        <w:t>в</w:t>
      </w:r>
      <w:r>
        <w:rPr>
          <w:rFonts w:ascii="Liberation Serif" w:hAnsi="Liberation Serif" w:eastAsia="Mangal" w:cs="Liberation Serif"/>
          <w:kern w:val="1"/>
          <w:sz w:val="24"/>
          <w:szCs w:val="24"/>
        </w:rPr>
        <w:t xml:space="preserve">еличение показателя в 2018 году  </w:t>
      </w:r>
      <w:r>
        <w:rPr>
          <w:rFonts w:ascii="Liberation Serif" w:hAnsi="Liberation Serif" w:eastAsia="Mangal" w:cs="Liberation Serif"/>
          <w:kern w:val="1"/>
          <w:sz w:val="24"/>
          <w:szCs w:val="24"/>
        </w:rPr>
        <w:t>п</w:t>
      </w:r>
      <w:r>
        <w:rPr>
          <w:rFonts w:ascii="Liberation Serif" w:hAnsi="Liberation Serif" w:eastAsia="Mangal" w:cs="Liberation Serif"/>
          <w:kern w:val="1"/>
          <w:sz w:val="24"/>
          <w:szCs w:val="24"/>
        </w:rPr>
        <w:t xml:space="preserve">о сравнению с 2017 годом, это связанно с уменьшением численности населения в </w:t>
      </w:r>
      <w:r>
        <w:rPr>
          <w:rFonts w:ascii="Liberation Serif" w:hAnsi="Liberation Serif" w:eastAsia="Mangal" w:cs="Liberation Serif"/>
          <w:kern w:val="1"/>
          <w:sz w:val="24"/>
          <w:szCs w:val="24"/>
        </w:rPr>
        <w:t>районе.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 Сокращение расходов на муниципальное управление(сокращение расходов на заработную плату с начислениями АЛМР,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 xml:space="preserve">незамещение вакантных должностей), сокращение расходов к уровню 2017 года составило 2,0 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  <w:t>млн. рублей.</w:t>
      </w:r>
      <w:r>
        <w:rPr>
          <w:rFonts w:ascii="Times New Roman" w:hAnsi="Times New Roman" w:eastAsia="SimSun"/>
          <w:color w:val="00000a"/>
          <w:kern w:val="1"/>
          <w:sz w:val="24"/>
          <w:szCs w:val="24"/>
          <w:lang w:bidi="hi-in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fill="ffffff"/>
        </w:rPr>
      </w:pPr>
      <w:r>
        <w:rPr>
          <w:rFonts w:ascii="Times New Roman" w:hAnsi="Times New Roman"/>
          <w:sz w:val="24"/>
          <w:szCs w:val="24"/>
          <w:shd w:val="clear" w:fill="ffffff"/>
        </w:rPr>
      </w:r>
    </w:p>
    <w:p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36. </w:t>
      </w:r>
      <w:r>
        <w:rPr>
          <w:rFonts w:ascii="Times New Roman" w:hAnsi="Times New Roman"/>
          <w:i/>
          <w:sz w:val="24"/>
          <w:szCs w:val="24"/>
          <w:shd w:val="clear" w:fill="ffffff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  <w:r>
        <w:rPr>
          <w:rFonts w:ascii="Times New Roman" w:hAnsi="Times New Roman"/>
          <w:i/>
          <w:sz w:val="24"/>
          <w:szCs w:val="24"/>
          <w:shd w:val="clear" w:fill="ffffff"/>
        </w:rPr>
      </w:r>
    </w:p>
    <w:p>
      <w:pPr>
        <w:spacing w:after="0" w:line="240" w:lineRule="auto"/>
        <w:jc w:val="both"/>
        <w:rPr>
          <w:rFonts w:ascii="Times New Roman" w:hAnsi="Times New Roman" w:eastAsia="SimSun"/>
          <w:kern w:val="1"/>
          <w:sz w:val="20"/>
          <w:szCs w:val="20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Решением Совета Лахденпохского муниципального района от 01.12.2011 года №147  утверждена Схема территориального планирования Лахденпохского муниципального района. Также были утверждены Генеральные планы и Правила землепользования и застройке в  городском поселении и  4-х сельских поселениях. </w:t>
      </w:r>
      <w:r>
        <w:rPr>
          <w:rFonts w:ascii="Times New Roman" w:hAnsi="Times New Roman" w:eastAsia="SimSun"/>
          <w:kern w:val="1"/>
          <w:sz w:val="24"/>
          <w:szCs w:val="24"/>
        </w:rPr>
        <w:t>Проводится актуализация Генеральных планов и Правил землепользования и застройки сельских поселений. Выполнение современных требований градостроительства позволит сделать территорию района прозрачной для инвесторов, повысить его инвестиционную привлекательность.</w:t>
      </w:r>
      <w:r>
        <w:rPr>
          <w:rFonts w:ascii="Times New Roman" w:hAnsi="Times New Roman" w:eastAsia="SimSun"/>
          <w:kern w:val="1"/>
          <w:sz w:val="20"/>
          <w:szCs w:val="20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37. Удовлетворенность населения деятельностью органов местного самоуправления городского округа (муниципального района)</w:t>
      </w:r>
    </w:p>
    <w:p>
      <w:pPr>
        <w:ind w:firstLine="708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На основании данных социологических опросов удовлетворенность населения деятельностью органов местного самоуправления Лахденпохского муниципального района за 2018 год увеличилась и составила 30% от числа опрошенных  (в 2017 году  было  18%).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9356" w:type="dxa"/>
      </w:tblPr>
      <w:tblGrid>
        <w:gridCol w:w="9356"/>
      </w:tblGrid>
      <w:tr>
        <w:trPr>
          <w:trHeight w:val="0" w:hRule="auto"/>
        </w:trPr>
        <w:tc>
          <w:tcPr>
            <w:tcW w:w="935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38. Среднегодовая численность постоянного населения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 Среднегодовая численность постоянного населения за 2018 год составила 12767 человек или 97,8% к уровню прошлого года. Снижение рождаемости и рост смертности приводят к увеличению естественной убыли населения.</w:t>
      </w:r>
    </w:p>
    <w:p>
      <w:pPr>
        <w:spacing w:after="0" w:line="240" w:lineRule="auto"/>
        <w:jc w:val="both"/>
        <w:rPr>
          <w:rFonts w:cs="Calibri"/>
          <w:color w:val="00000a"/>
          <w:kern w:val="1"/>
          <w:szCs w:val="24"/>
          <w:lang w:bidi="hi-in"/>
        </w:rPr>
      </w:pPr>
      <w:r>
        <w:rPr>
          <w:rFonts w:ascii="Times New Roman" w:hAnsi="Times New Roman" w:eastAsia="Times New Roman"/>
          <w:sz w:val="24"/>
          <w:szCs w:val="24"/>
          <w:lang w:bidi="hi-in"/>
        </w:rPr>
        <w:t xml:space="preserve">        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Демографическая ситуация является одним из определяющих факторов социально-экономического развития территории. В нашем районе она характеризуется неблагоприятной возрастной структурой.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>За 2018 год в районе родилось 90 детей, что меньше соответствующего периода прошлого года на 10 детей.</w:t>
      </w:r>
      <w:r>
        <w:rPr>
          <w:rFonts w:cs="Calibri"/>
          <w:color w:val="00000a"/>
          <w:kern w:val="1"/>
          <w:szCs w:val="24"/>
          <w:lang w:bidi="hi-in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color w:val="00000a"/>
          <w:kern w:val="1"/>
          <w:sz w:val="24"/>
          <w:szCs w:val="24"/>
        </w:rPr>
      </w:pPr>
      <w:r>
        <w:rPr>
          <w:rFonts w:ascii="Times New Roman" w:hAnsi="Times New Roman" w:eastAsia="Times New Roman"/>
          <w:b/>
          <w:color w:val="00000a"/>
          <w:kern w:val="1"/>
          <w:sz w:val="24"/>
          <w:szCs w:val="24"/>
          <w:lang w:bidi="hi-in"/>
        </w:rPr>
        <w:t xml:space="preserve">        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С начала 2018 года количество умерших составило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u w:color="auto" w:val="single"/>
          <w:lang w:bidi="hi-in"/>
        </w:rPr>
        <w:t>230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 человек. Естественная убыль населения составила –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u w:color="auto" w:val="single"/>
          <w:lang w:bidi="hi-in"/>
        </w:rPr>
        <w:t>140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 человека, которая по сравнению с предыдущим годом выросла в 1,7 раза. </w:t>
      </w:r>
      <w:r>
        <w:rPr>
          <w:rFonts w:ascii="Times New Roman" w:hAnsi="Times New Roman" w:eastAsia="Times New Roman"/>
          <w:b/>
          <w:color w:val="00000a"/>
          <w:kern w:val="1"/>
          <w:sz w:val="24"/>
          <w:szCs w:val="24"/>
          <w:lang w:bidi="hi-in"/>
        </w:rPr>
        <w:t xml:space="preserve"> 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</w:rPr>
        <w:t xml:space="preserve">  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39. </w:t>
      </w:r>
      <w:r>
        <w:rPr>
          <w:rFonts w:ascii="Times New Roman" w:hAnsi="Times New Roman"/>
          <w:i/>
          <w:sz w:val="24"/>
          <w:szCs w:val="24"/>
          <w:shd w:val="clear" w:fill="ffffff"/>
        </w:rPr>
        <w:t xml:space="preserve">Удельная величина потребления энергетических ресурсов </w:t>
      </w:r>
      <w:r>
        <w:rPr>
          <w:rFonts w:ascii="Times New Roman" w:hAnsi="Times New Roman" w:eastAsia="Times New Roman"/>
          <w:i/>
          <w:color w:val="1d1d1d"/>
          <w:sz w:val="24"/>
          <w:szCs w:val="24"/>
        </w:rPr>
        <w:t>(электрическая и тепловая энергия, вода, природный газ) в многоквартирных домах.</w:t>
      </w:r>
      <w:r>
        <w:rPr>
          <w:rFonts w:ascii="Times New Roman" w:hAnsi="Times New Roman" w:eastAsia="Times New Roman"/>
          <w:i/>
          <w:color w:val="1d1d1d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SimSun"/>
          <w:kern w:val="1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 w:eastAsia="SimSun"/>
          <w:kern w:val="1"/>
          <w:sz w:val="24"/>
          <w:szCs w:val="24"/>
        </w:rPr>
        <w:t>Проблема энергосбережения и повышения энергетической эффективности является комплексной и ее решение требует последовательного осуществления согласованных мер в различных сферах производства и потребления энергетических ресурсов.</w:t>
      </w:r>
      <w:r>
        <w:rPr>
          <w:rFonts w:ascii="Times New Roman" w:hAnsi="Times New Roman" w:eastAsia="SimSun"/>
          <w:kern w:val="1"/>
          <w:sz w:val="20"/>
          <w:szCs w:val="20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Централизованное горячее водоснабжение в многоквартирных домах, расположенных на территории Лахденпохского муниципального района, не осуществляется.</w:t>
      </w:r>
      <w:r>
        <w:rPr>
          <w:rFonts w:ascii="Times New Roman" w:hAnsi="Times New Roman" w:eastAsia="Times New Roman"/>
          <w:i/>
          <w:color w:val="1d1d1d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Природный газ в многоквартирных домах, расположенных на территории Лахденпохского муниципального района, отсутствует.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Снижение удельных показателей потребления коммунальных ресурсов в многоквартирных домах связано с установкой индивидуальных и коллективных приборов учета коммунальных ресурсов и увеличением тарифов. Увеличение удельных показателей потребления холодной воды связано с развитием строительства индивидуальных жилых домов и подключением к сетям водоснабжения.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bCs/>
          <w:i/>
          <w:sz w:val="24"/>
          <w:szCs w:val="24"/>
        </w:rPr>
      </w:pPr>
      <w:r>
        <w:rPr>
          <w:rFonts w:ascii="Times New Roman" w:hAnsi="Times New Roman" w:eastAsia="Times New Roman"/>
          <w:i/>
          <w:color w:val="1d1d1d"/>
          <w:sz w:val="24"/>
          <w:szCs w:val="24"/>
        </w:rPr>
        <w:t>40. Удельная величина потребления энергетических ресурсов муниципальными бюджетными учреждениями.</w:t>
      </w:r>
      <w:r>
        <w:rPr>
          <w:rFonts w:ascii="Times New Roman" w:hAnsi="Times New Roman" w:eastAsia="Times New Roman"/>
          <w:bCs/>
          <w:i/>
          <w:sz w:val="24"/>
          <w:szCs w:val="24"/>
        </w:rPr>
      </w:r>
    </w:p>
    <w:p>
      <w:pPr>
        <w:ind w:firstLine="708"/>
        <w:spacing w:after="0" w:line="240" w:lineRule="auto"/>
        <w:jc w:val="both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</w:rPr>
        <w:t>Удельная величина потребления холодного  водоснабжения на одного человека населения в 2018 году по сравнению с уровнем 2017 года не изменилась.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Централизованное горячее водоснабжение и природный газ в муниципальных бюджетных учреждениях, расположенных на территории Лахденпохского муниципального района, отсутствуют.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>В целях энергосбережения и экономии бюджетных средств</w:t>
      </w:r>
      <w:r>
        <w:rPr>
          <w:rFonts w:ascii="Times New Roman" w:hAnsi="Times New Roman"/>
          <w:sz w:val="24"/>
          <w:szCs w:val="24"/>
        </w:rPr>
        <w:t xml:space="preserve"> Администрация Лахденпохского муниципального района ежегодно </w:t>
      </w:r>
      <w:r>
        <w:rPr>
          <w:rFonts w:ascii="Times New Roman" w:hAnsi="Times New Roman"/>
          <w:sz w:val="24"/>
          <w:szCs w:val="24"/>
        </w:rPr>
        <w:t>утверждает</w:t>
      </w:r>
      <w:r>
        <w:rPr>
          <w:rFonts w:ascii="Times New Roman" w:hAnsi="Times New Roman"/>
          <w:sz w:val="24"/>
          <w:szCs w:val="24"/>
        </w:rPr>
        <w:t xml:space="preserve"> лимиты потребления энергетических ресурсов для подведомственных муниципальных учреждений</w:t>
      </w:r>
      <w:r>
        <w:rPr>
          <w:rFonts w:ascii="Times New Roman" w:hAnsi="Times New Roman"/>
          <w:sz w:val="24"/>
          <w:szCs w:val="24"/>
        </w:rPr>
        <w:t xml:space="preserve"> и проводит мониторинг.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       Проблема энергосбережения и повышения энергетической эффективности является комплексной и ее решение требует последовательного осуществления согласованных мер в различных сферах производства и потребления энергетических ресурсов. 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SimSun"/>
          <w:color w:val="444444"/>
          <w:kern w:val="1"/>
          <w:sz w:val="21"/>
          <w:szCs w:val="20"/>
        </w:rPr>
        <w:t xml:space="preserve">     </w:t>
      </w:r>
      <w:r>
        <w:rPr>
          <w:rFonts w:ascii="Times New Roman" w:hAnsi="Times New Roman" w:eastAsia="Times New Roman"/>
          <w:kern w:val="1"/>
          <w:sz w:val="21"/>
          <w:szCs w:val="20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>Ситуация в экономике, социальной сфере и организации управления в 2018 году оставалась стабильной.</w:t>
      </w:r>
      <w:r>
        <w:rPr>
          <w:rFonts w:ascii="Times New Roman" w:hAnsi="Times New Roman" w:eastAsia="Times New Roman"/>
          <w:color w:val="00000a"/>
          <w:kern w:val="1"/>
          <w:sz w:val="24"/>
          <w:szCs w:val="24"/>
          <w:lang w:bidi="hi-in"/>
        </w:rPr>
        <w:t xml:space="preserve"> В 2019 году мы продолжим работу, направленную на обеспечение комплексного социально-экономического развития района, улучшение качества и уровня жизни населения нашего района.</w:t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2019 году необходимо: </w:t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обеспечение поступлений налоговых и неналоговых доходов в запланированном объеме с целью полного исполнения действующих расходных обязательств; </w:t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усиление муниципального финансового контроля за эффективным расходованием бюджетных средств и выполнением условий предоставления субсидий бюджетным учреждениям; </w:t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сокращение неэффективных бюджетных расходов. </w:t>
      </w:r>
    </w:p>
    <w:p>
      <w:pPr>
        <w:spacing w:after="0" w:line="240" w:lineRule="auto"/>
        <w:jc w:val="both"/>
        <w:widowControl w:val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Работа над доходами, поиск резервов в доходной части – это приоритетная задача года. </w:t>
      </w:r>
    </w:p>
    <w:p>
      <w:pPr>
        <w:spacing w:after="0" w:line="240" w:lineRule="auto"/>
        <w:jc w:val="both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/>
          <w:kern w:val="1"/>
          <w:sz w:val="24"/>
          <w:szCs w:val="24"/>
        </w:rPr>
      </w:pPr>
      <w:r>
        <w:rPr>
          <w:rFonts w:ascii="Times New Roman" w:hAnsi="Times New Roman" w:eastAsia="SimSun"/>
          <w:kern w:val="1"/>
          <w:sz w:val="24"/>
          <w:szCs w:val="24"/>
        </w:rPr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both"/>
      </w:pPr>
      <w:r/>
    </w:p>
    <w:p>
      <w:pPr>
        <w:spacing w:after="0" w:line="240" w:lineRule="auto"/>
        <w:jc w:val="both"/>
      </w:pPr>
      <w:r/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Глава Администрации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Лахденпохского муниципального района                                              В.М.Пинигин</w:t>
      </w:r>
    </w:p>
    <w:p>
      <w:pPr>
        <w:spacing w:after="0" w:line="240" w:lineRule="auto"/>
        <w:jc w:val="both"/>
      </w:pPr>
      <w:r/>
    </w:p>
    <w:p>
      <w:pPr>
        <w:spacing w:after="0" w:line="240" w:lineRule="auto"/>
        <w:jc w:val="both"/>
      </w:pPr>
      <w:r/>
    </w:p>
    <w:p>
      <w:pPr>
        <w:spacing w:after="0" w:line="240" w:lineRule="auto"/>
        <w:jc w:val="both"/>
      </w:pPr>
      <w:r/>
    </w:p>
    <w:p>
      <w:pPr>
        <w:spacing w:after="0" w:line="240" w:lineRule="auto"/>
        <w:jc w:val="both"/>
      </w:pPr>
      <w:r/>
    </w:p>
    <w:p>
      <w:pPr>
        <w:spacing w:after="0" w:line="240" w:lineRule="auto"/>
        <w:jc w:val="both"/>
      </w:pPr>
      <w:r/>
    </w:p>
    <w:p>
      <w:pPr>
        <w:spacing w:after="0" w:line="240" w:lineRule="auto"/>
        <w:jc w:val="both"/>
      </w:pPr>
      <w:r/>
    </w:p>
    <w:p>
      <w:pPr>
        <w:spacing w:after="0" w:line="240" w:lineRule="auto"/>
        <w:jc w:val="both"/>
      </w:pPr>
      <w:r/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 Фатеева Е.Е.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 (81450) 22186;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89643178423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794" w:right="851" w:bottom="68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  <w:font w:name="Tahoma">
    <w:panose1 w:val="020B0604030504040204"/>
    <w:charset w:val="cc"/>
    <w:family w:val="swiss"/>
    <w:pitch w:val="default"/>
  </w:font>
  <w:font w:name="Mangal">
    <w:panose1 w:val="02040503050203030202"/>
    <w:charset w:val="00"/>
    <w:family w:val="roman"/>
    <w:pitch w:val="default"/>
  </w:font>
  <w:font w:name="Liberation Serif">
    <w:panose1 w:val="02020603050405020304"/>
    <w:charset w:val="cc"/>
    <w:family w:val="roman"/>
    <w:pitch w:val="default"/>
  </w:font>
  <w:font w:name="Wingdings">
    <w:panose1 w:val="05000000000000000000"/>
    <w:charset w:val="02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numFmt w:val="bullet"/>
      <w:suff w:val="tab"/>
      <w:lvlText w:val=""/>
      <w:lvlJc w:val="left"/>
      <w:pPr>
        <w:ind w:left="360" w:hanging="0"/>
      </w:pPr>
      <w:rPr>
        <w:rPr>
          <w:rFonts w:ascii="Wingdings" w:hAnsi="Wingdings" w:eastAsia="Wingdings" w:cs="Wingdings"/>
          <w:sz w:val="24"/>
          <w:szCs w:val="24"/>
        </w:rPr>
      </w:rPr>
    </w:lvl>
    <w:lvl w:ilvl="1">
      <w:numFmt w:val="bullet"/>
      <w:suff w:val="tab"/>
      <w:lvlText w:val=""/>
      <w:lvlJc w:val="left"/>
      <w:pPr>
        <w:ind w:left="720" w:hanging="0"/>
      </w:pPr>
      <w:rPr>
        <w:rPr>
          <w:rFonts w:ascii="Wingdings" w:hAnsi="Wingdings" w:eastAsia="Wingdings" w:cs="Wingdings"/>
        </w:rPr>
      </w:rPr>
    </w:lvl>
    <w:lvl w:ilvl="2">
      <w:numFmt w:val="bullet"/>
      <w:suff w:val="tab"/>
      <w:lvlText w:val=""/>
      <w:lvlJc w:val="left"/>
      <w:pPr>
        <w:ind w:left="108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"/>
      <w:lvlJc w:val="left"/>
      <w:pPr>
        <w:ind w:left="1440" w:hanging="0"/>
      </w:pPr>
      <w:rPr>
        <w:rPr>
          <w:rFonts w:ascii="Wingdings" w:hAnsi="Wingdings" w:eastAsia="Wingdings" w:cs="Wingdings"/>
        </w:rPr>
      </w:rPr>
    </w:lvl>
    <w:lvl w:ilvl="4">
      <w:numFmt w:val="bullet"/>
      <w:suff w:val="tab"/>
      <w:lvlText w:val="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5">
      <w:numFmt w:val="bullet"/>
      <w:suff w:val="tab"/>
      <w:lvlText w:val="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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7">
      <w:numFmt w:val="bullet"/>
      <w:suff w:val="tab"/>
      <w:lvlText w:val=""/>
      <w:lvlJc w:val="left"/>
      <w:pPr>
        <w:ind w:left="2880" w:hanging="0"/>
      </w:pPr>
      <w:rPr>
        <w:rPr>
          <w:rFonts w:ascii="Wingdings" w:hAnsi="Wingdings" w:eastAsia="Wingdings" w:cs="Wingdings"/>
        </w:rPr>
      </w:rPr>
    </w:lvl>
    <w:lvl w:ilvl="8">
      <w:numFmt w:val="bullet"/>
      <w:suff w:val="tab"/>
      <w:lvlText w:val=""/>
      <w:lvlJc w:val="left"/>
      <w:pPr>
        <w:ind w:left="3240" w:hanging="0"/>
      </w:pPr>
      <w:rPr>
        <w:rPr>
          <w:rFonts w:ascii="Wingdings" w:hAnsi="Wingdings" w:eastAsia="Wingdings" w:cs="Wingdings"/>
        </w:rPr>
      </w:rPr>
    </w:lvl>
  </w:abstractNum>
  <w:abstractNum w:abstractNumId="2">
    <w:multiLevelType w:val="multi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0" w:hanging="0"/>
      </w:pPr>
      <w:rPr/>
    </w:lvl>
    <w:lvl w:ilvl="1">
      <w:start w:val="1"/>
      <w:numFmt w:val="lowerLetter"/>
      <w:suff w:val="tab"/>
      <w:lvlText w:val="%2."/>
      <w:lvlJc w:val="left"/>
      <w:pPr>
        <w:ind w:left="720" w:hanging="0"/>
      </w:pPr>
      <w:rPr/>
    </w:lvl>
    <w:lvl w:ilvl="2">
      <w:start w:val="1"/>
      <w:numFmt w:val="lowerRoman"/>
      <w:suff w:val="tab"/>
      <w:lvlText w:val="%3."/>
      <w:lvlJc w:val="left"/>
      <w:pPr>
        <w:ind w:left="1620" w:hanging="0"/>
      </w:pPr>
      <w:rPr/>
    </w:lvl>
    <w:lvl w:ilvl="3">
      <w:start w:val="1"/>
      <w:numFmt w:val="decimal"/>
      <w:suff w:val="tab"/>
      <w:lvlText w:val="%4."/>
      <w:lvlJc w:val="left"/>
      <w:pPr>
        <w:ind w:left="2160" w:hanging="0"/>
      </w:pPr>
      <w:rPr/>
    </w:lvl>
    <w:lvl w:ilvl="4">
      <w:start w:val="1"/>
      <w:numFmt w:val="lowerLetter"/>
      <w:suff w:val="tab"/>
      <w:lvlText w:val="%5."/>
      <w:lvlJc w:val="left"/>
      <w:pPr>
        <w:ind w:left="2880" w:hanging="0"/>
      </w:pPr>
      <w:rPr/>
    </w:lvl>
    <w:lvl w:ilvl="5">
      <w:start w:val="1"/>
      <w:numFmt w:val="lowerRoman"/>
      <w:suff w:val="tab"/>
      <w:lvlText w:val="%6."/>
      <w:lvlJc w:val="left"/>
      <w:pPr>
        <w:ind w:left="3780" w:hanging="0"/>
      </w:pPr>
      <w:rPr/>
    </w:lvl>
    <w:lvl w:ilvl="6">
      <w:start w:val="1"/>
      <w:numFmt w:val="decimal"/>
      <w:suff w:val="tab"/>
      <w:lvlText w:val="%7."/>
      <w:lvlJc w:val="left"/>
      <w:pPr>
        <w:ind w:left="4320" w:hanging="0"/>
      </w:pPr>
      <w:rPr/>
    </w:lvl>
    <w:lvl w:ilvl="7">
      <w:start w:val="1"/>
      <w:numFmt w:val="lowerLetter"/>
      <w:suff w:val="tab"/>
      <w:lvlText w:val="%8."/>
      <w:lvlJc w:val="left"/>
      <w:pPr>
        <w:ind w:left="5040" w:hanging="0"/>
      </w:pPr>
      <w:rPr/>
    </w:lvl>
    <w:lvl w:ilvl="8">
      <w:start w:val="1"/>
      <w:numFmt w:val="lowerRoman"/>
      <w:suff w:val="tab"/>
      <w:lvlText w:val="%9."/>
      <w:lvlJc w:val="left"/>
      <w:pPr>
        <w:ind w:left="5940" w:hanging="0"/>
      </w:pPr>
      <w:rPr/>
    </w:lvl>
  </w:abstractNum>
  <w:abstractNum w:abstractNumId="3">
    <w:multiLevelType w:val="singleLevel"/>
    <w:name w:val="Bullet 3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numFmt w:val="bullet"/>
      <w:lvlText w:val="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  <w:sz w:val="24"/>
          <w:szCs w:val="24"/>
        </w:rPr>
      </w:rPr>
    </w:lvl>
  </w:abstractNum>
  <w:abstractNum w:abstractNumId="5">
    <w:multiLevelType w:val="singleLevel"/>
    <w:name w:val="Bullet 5"/>
    <w:lvl w:ilvl="0">
      <w:numFmt w:val="bullet"/>
      <w:lvlText w:val="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6">
    <w:multiLevelType w:val="singleLevel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7">
    <w:multiLevelType w:val="singleLevel"/>
    <w:name w:val="Bullet 7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8">
    <w:multiLevelType w:val="singleLevel"/>
    <w:name w:val="Bullet 8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2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558940463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No Spacing"/>
    <w:qFormat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">
    <w:name w:val="List Paragraph"/>
    <w:qFormat/>
    <w:pPr>
      <w:ind w:left="720"/>
      <w:contextualSpacing/>
    </w:pPr>
  </w:style>
  <w:style w:type="paragraph" w:styleId="" w:customStyle="1">
    <w:name w:val="Знак Знак Знак"/>
    <w:qFormat/>
    <w:pPr>
      <w:spacing w:after="160" w:line="240" w:lineRule="exact"/>
      <w:jc w:val="right"/>
      <w:widowControl w:val="0"/>
    </w:pPr>
    <w:rPr>
      <w:rFonts w:ascii="Times New Roman" w:hAnsi="Times New Roman" w:eastAsia="Times New Roman"/>
      <w:sz w:val="20"/>
      <w:szCs w:val="20"/>
      <w:lang w:val="en-gb"/>
    </w:rPr>
  </w:style>
  <w:style w:type="paragraph" w:styleId="3" w:customStyle="1">
    <w:name w:val="Обычный3"/>
    <w:qFormat/>
    <w:pPr>
      <w:spacing w:after="0" w:line="240" w:lineRule="auto"/>
    </w:pPr>
    <w:rPr>
      <w:rFonts w:ascii="Times New Roman" w:hAnsi="Times New Roman" w:eastAsia="Times New Roman"/>
      <w:sz w:val="20"/>
      <w:szCs w:val="20"/>
    </w:rPr>
  </w:style>
  <w:style w:type="paragraph" w:styleId="2">
    <w:name w:val="Body Text Indent 2"/>
    <w:qFormat/>
    <w:pPr>
      <w:ind w:left="283"/>
      <w:spacing w:after="120" w:line="480" w:lineRule="auto"/>
    </w:pPr>
    <w:rPr>
      <w:rFonts w:ascii="Times New Roman" w:hAnsi="Times New Roman" w:eastAsia="Times New Roman"/>
      <w:sz w:val="24"/>
      <w:szCs w:val="24"/>
    </w:rPr>
  </w:style>
  <w:style w:type="paragraph" w:styleId="()">
    <w:name w:val="Normal (Web)"/>
    <w:qFormat/>
    <w:pPr>
      <w:spacing w:beforeAutospacing="1" w:afterAutospacing="1" w:line="240" w:lineRule="auto"/>
    </w:pPr>
    <w:rPr>
      <w:rFonts w:ascii="Times New Roman" w:hAnsi="Times New Roman" w:eastAsia="Times New Roman"/>
      <w:color w:val="00000a"/>
      <w:kern w:val="1"/>
      <w:sz w:val="24"/>
      <w:szCs w:val="24"/>
    </w:rPr>
  </w:style>
  <w:style w:type="paragraph" w:styleId="1" w:customStyle="1">
    <w:name w:val="Без интервала1"/>
    <w:qFormat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styleId="" w:customStyle="1">
    <w:name w:val="Содержимое таблицы"/>
    <w:qFormat/>
    <w:rPr>
      <w:rFonts w:eastAsia="Times New Roman"/>
      <w:color w:val="00000a"/>
      <w:kern w:val="1"/>
    </w:rPr>
  </w:style>
  <w:style w:type="paragraph" w:styleId="" w:customStyle="1">
    <w:name w:val="Текст письма"/>
    <w:qFormat/>
    <w:pPr>
      <w:ind w:firstLine="510"/>
      <w:spacing w:after="120" w:line="360" w:lineRule="auto"/>
      <w:jc w:val="both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none"/>
    </w:pPr>
    <w:rPr>
      <w:rFonts w:ascii="Times New Roman" w:hAnsi="Times New Roman" w:eastAsia="Times New Roman"/>
      <w:sz w:val="24"/>
      <w:szCs w:val="20"/>
    </w:rPr>
  </w:style>
  <w:style w:type="character" w:styleId="" w:default="1">
    <w:name w:val="Default Paragraph Font"/>
  </w:style>
  <w:style w:type="character" w:styleId="2" w:customStyle="1">
    <w:name w:val="Основной текст с отступом 2 Знак"/>
    <w:rPr>
      <w:rFonts w:ascii="Times New Roman" w:hAnsi="Times New Roman" w:eastAsia="Times New Roman"/>
      <w:sz w:val="24"/>
      <w:szCs w:val="24"/>
    </w:rPr>
  </w:style>
  <w:style w:type="character" w:styleId="">
    <w:name w:val="Strong"/>
    <w:rPr>
      <w:b/>
      <w:bCs/>
    </w:rPr>
  </w:style>
  <w:style w:type="character" w:styleId="">
    <w:name w:val="Hyperlink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No Spacing"/>
    <w:qFormat/>
    <w:pPr>
      <w:spacing w:before="100" w:after="100" w:beforeAutospacing="1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">
    <w:name w:val="List Paragraph"/>
    <w:qFormat/>
    <w:pPr>
      <w:ind w:left="720"/>
      <w:contextualSpacing/>
    </w:pPr>
  </w:style>
  <w:style w:type="paragraph" w:styleId="" w:customStyle="1">
    <w:name w:val="Знак Знак Знак"/>
    <w:qFormat/>
    <w:pPr>
      <w:spacing w:after="160" w:line="240" w:lineRule="exact"/>
      <w:jc w:val="right"/>
      <w:widowControl w:val="0"/>
    </w:pPr>
    <w:rPr>
      <w:rFonts w:ascii="Times New Roman" w:hAnsi="Times New Roman" w:eastAsia="Times New Roman"/>
      <w:sz w:val="20"/>
      <w:szCs w:val="20"/>
      <w:lang w:val="en-gb"/>
    </w:rPr>
  </w:style>
  <w:style w:type="paragraph" w:styleId="3" w:customStyle="1">
    <w:name w:val="Обычный3"/>
    <w:qFormat/>
    <w:pPr>
      <w:spacing w:after="0" w:line="240" w:lineRule="auto"/>
    </w:pPr>
    <w:rPr>
      <w:rFonts w:ascii="Times New Roman" w:hAnsi="Times New Roman" w:eastAsia="Times New Roman"/>
      <w:sz w:val="20"/>
      <w:szCs w:val="20"/>
    </w:rPr>
  </w:style>
  <w:style w:type="paragraph" w:styleId="2">
    <w:name w:val="Body Text Indent 2"/>
    <w:qFormat/>
    <w:pPr>
      <w:ind w:left="283"/>
      <w:spacing w:after="120" w:line="480" w:lineRule="auto"/>
    </w:pPr>
    <w:rPr>
      <w:rFonts w:ascii="Times New Roman" w:hAnsi="Times New Roman" w:eastAsia="Times New Roman"/>
      <w:sz w:val="24"/>
      <w:szCs w:val="24"/>
    </w:rPr>
  </w:style>
  <w:style w:type="paragraph" w:styleId="()">
    <w:name w:val="Normal (Web)"/>
    <w:qFormat/>
    <w:pPr>
      <w:spacing w:beforeAutospacing="1" w:afterAutospacing="1" w:line="240" w:lineRule="auto"/>
    </w:pPr>
    <w:rPr>
      <w:rFonts w:ascii="Times New Roman" w:hAnsi="Times New Roman" w:eastAsia="Times New Roman"/>
      <w:color w:val="00000a"/>
      <w:kern w:val="1"/>
      <w:sz w:val="24"/>
      <w:szCs w:val="24"/>
    </w:rPr>
  </w:style>
  <w:style w:type="paragraph" w:styleId="1" w:customStyle="1">
    <w:name w:val="Без интервала1"/>
    <w:qFormat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styleId="" w:customStyle="1">
    <w:name w:val="Содержимое таблицы"/>
    <w:qFormat/>
    <w:rPr>
      <w:rFonts w:eastAsia="Times New Roman"/>
      <w:color w:val="00000a"/>
      <w:kern w:val="1"/>
    </w:rPr>
  </w:style>
  <w:style w:type="paragraph" w:styleId="" w:customStyle="1">
    <w:name w:val="Текст письма"/>
    <w:qFormat/>
    <w:pPr>
      <w:ind w:firstLine="510"/>
      <w:spacing w:after="120" w:line="360" w:lineRule="auto"/>
      <w:jc w:val="both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none"/>
    </w:pPr>
    <w:rPr>
      <w:rFonts w:ascii="Times New Roman" w:hAnsi="Times New Roman" w:eastAsia="Times New Roman"/>
      <w:sz w:val="24"/>
      <w:szCs w:val="20"/>
    </w:rPr>
  </w:style>
  <w:style w:type="character" w:styleId="" w:default="1">
    <w:name w:val="Default Paragraph Font"/>
  </w:style>
  <w:style w:type="character" w:styleId="2" w:customStyle="1">
    <w:name w:val="Основной текст с отступом 2 Знак"/>
    <w:rPr>
      <w:rFonts w:ascii="Times New Roman" w:hAnsi="Times New Roman" w:eastAsia="Times New Roman"/>
      <w:sz w:val="24"/>
      <w:szCs w:val="24"/>
    </w:rPr>
  </w:style>
  <w:style w:type="character" w:styleId="">
    <w:name w:val="Strong"/>
    <w:rPr>
      <w:b/>
      <w:bCs/>
    </w:rPr>
  </w:style>
  <w:style w:type="character" w:styleId="">
    <w:name w:val="Hyperlink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/>
  <cp:revision>25</cp:revision>
  <cp:lastPrinted>2019-05-27T10:01:22Z</cp:lastPrinted>
  <dcterms:created xsi:type="dcterms:W3CDTF">2017-05-19T13:49:00Z</dcterms:created>
  <dcterms:modified xsi:type="dcterms:W3CDTF">2019-05-27T10:01:03Z</dcterms:modified>
</cp:coreProperties>
</file>